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35D" w:rsidRPr="00E16705" w:rsidRDefault="0077591B">
      <w:pPr>
        <w:spacing w:before="120"/>
        <w:jc w:val="center"/>
        <w:rPr>
          <w:b/>
          <w:sz w:val="24"/>
          <w:szCs w:val="24"/>
        </w:rPr>
      </w:pPr>
      <w:r w:rsidRPr="00E16705">
        <w:rPr>
          <w:b/>
          <w:sz w:val="24"/>
          <w:szCs w:val="24"/>
        </w:rPr>
        <w:t>TANTÁRGYI TEMATIKA</w:t>
      </w:r>
    </w:p>
    <w:p w:rsidR="00B50936" w:rsidRPr="00E16705" w:rsidRDefault="00B50936">
      <w:pPr>
        <w:spacing w:before="120"/>
        <w:jc w:val="center"/>
        <w:rPr>
          <w:b/>
          <w:sz w:val="24"/>
          <w:szCs w:val="24"/>
        </w:rPr>
      </w:pPr>
      <w:r w:rsidRPr="00E16705">
        <w:rPr>
          <w:b/>
          <w:sz w:val="24"/>
          <w:szCs w:val="24"/>
        </w:rPr>
        <w:t>Az EU alapintézményei és jogrendszere</w:t>
      </w:r>
    </w:p>
    <w:p w:rsidR="00E56933" w:rsidRPr="00E16705" w:rsidRDefault="00E56933">
      <w:pPr>
        <w:spacing w:before="120"/>
        <w:jc w:val="center"/>
        <w:rPr>
          <w:b/>
          <w:sz w:val="24"/>
          <w:szCs w:val="24"/>
        </w:rPr>
      </w:pPr>
      <w:r w:rsidRPr="00E16705">
        <w:rPr>
          <w:b/>
          <w:sz w:val="24"/>
          <w:szCs w:val="24"/>
        </w:rPr>
        <w:t>Munkaügyi és Társadalombiztosítási Igazgatási BA szak</w:t>
      </w:r>
    </w:p>
    <w:p w:rsidR="0010535D" w:rsidRPr="00E16705" w:rsidRDefault="0077591B">
      <w:pPr>
        <w:spacing w:before="120"/>
        <w:jc w:val="center"/>
        <w:rPr>
          <w:b/>
          <w:sz w:val="24"/>
          <w:szCs w:val="24"/>
        </w:rPr>
      </w:pPr>
      <w:r w:rsidRPr="00E16705">
        <w:rPr>
          <w:b/>
          <w:sz w:val="24"/>
          <w:szCs w:val="24"/>
        </w:rPr>
        <w:t xml:space="preserve"> </w:t>
      </w:r>
      <w:proofErr w:type="gramStart"/>
      <w:r w:rsidRPr="00E16705">
        <w:rPr>
          <w:b/>
          <w:sz w:val="24"/>
          <w:szCs w:val="24"/>
        </w:rPr>
        <w:t>nappali</w:t>
      </w:r>
      <w:proofErr w:type="gramEnd"/>
      <w:r w:rsidR="00315AC0" w:rsidRPr="00E16705">
        <w:rPr>
          <w:b/>
          <w:sz w:val="24"/>
          <w:szCs w:val="24"/>
        </w:rPr>
        <w:t>/lev</w:t>
      </w:r>
      <w:bookmarkStart w:id="0" w:name="_GoBack"/>
      <w:bookmarkEnd w:id="0"/>
      <w:r w:rsidR="00315AC0" w:rsidRPr="00E16705">
        <w:rPr>
          <w:b/>
          <w:sz w:val="24"/>
          <w:szCs w:val="24"/>
        </w:rPr>
        <w:t>elező</w:t>
      </w:r>
    </w:p>
    <w:tbl>
      <w:tblPr>
        <w:tblW w:w="967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5"/>
        <w:gridCol w:w="4835"/>
      </w:tblGrid>
      <w:tr w:rsidR="0010535D" w:rsidRPr="00E16705">
        <w:tc>
          <w:tcPr>
            <w:tcW w:w="4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E16705" w:rsidRDefault="0077591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16705">
              <w:rPr>
                <w:b/>
                <w:sz w:val="24"/>
                <w:szCs w:val="24"/>
              </w:rPr>
              <w:t>Tantárgy neve:</w:t>
            </w:r>
          </w:p>
          <w:p w:rsidR="00E33EE8" w:rsidRPr="00E16705" w:rsidRDefault="00B50936">
            <w:pPr>
              <w:spacing w:after="0" w:line="240" w:lineRule="auto"/>
              <w:rPr>
                <w:sz w:val="24"/>
                <w:szCs w:val="24"/>
              </w:rPr>
            </w:pPr>
            <w:r w:rsidRPr="00E16705">
              <w:rPr>
                <w:color w:val="000000"/>
                <w:sz w:val="24"/>
                <w:szCs w:val="24"/>
              </w:rPr>
              <w:t>Az EU alapintézményei és jogrendszere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EE8" w:rsidRPr="00E16705" w:rsidRDefault="00690B14">
            <w:pPr>
              <w:spacing w:after="0" w:line="240" w:lineRule="auto"/>
              <w:rPr>
                <w:sz w:val="24"/>
                <w:szCs w:val="24"/>
              </w:rPr>
            </w:pPr>
            <w:r w:rsidRPr="00E16705">
              <w:rPr>
                <w:b/>
                <w:sz w:val="24"/>
                <w:szCs w:val="24"/>
              </w:rPr>
              <w:t xml:space="preserve">Tantárgy </w:t>
            </w:r>
            <w:proofErr w:type="spellStart"/>
            <w:r w:rsidRPr="00E16705">
              <w:rPr>
                <w:b/>
                <w:sz w:val="24"/>
                <w:szCs w:val="24"/>
              </w:rPr>
              <w:t>Neptun</w:t>
            </w:r>
            <w:proofErr w:type="spellEnd"/>
            <w:r w:rsidRPr="00E16705">
              <w:rPr>
                <w:b/>
                <w:sz w:val="24"/>
                <w:szCs w:val="24"/>
              </w:rPr>
              <w:t>-</w:t>
            </w:r>
            <w:r w:rsidR="0077591B" w:rsidRPr="00E16705">
              <w:rPr>
                <w:b/>
                <w:sz w:val="24"/>
                <w:szCs w:val="24"/>
              </w:rPr>
              <w:t>kódja:</w:t>
            </w:r>
            <w:r w:rsidR="0077591B" w:rsidRPr="00E16705">
              <w:rPr>
                <w:sz w:val="24"/>
                <w:szCs w:val="24"/>
              </w:rPr>
              <w:t xml:space="preserve"> </w:t>
            </w:r>
          </w:p>
          <w:p w:rsidR="00B50936" w:rsidRPr="00E16705" w:rsidRDefault="00B50936" w:rsidP="00B50936">
            <w:pPr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>Nappali tagozat: AJEUN140MBAN4</w:t>
            </w:r>
          </w:p>
          <w:p w:rsidR="00B50936" w:rsidRPr="00E16705" w:rsidRDefault="00B50936" w:rsidP="00B50936">
            <w:pPr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>Levelező tagozat: AJEUN140MBAL4</w:t>
            </w:r>
          </w:p>
          <w:p w:rsidR="00B061CE" w:rsidRPr="00E16705" w:rsidRDefault="0077591B" w:rsidP="00F71E22">
            <w:pPr>
              <w:spacing w:after="0" w:line="240" w:lineRule="auto"/>
              <w:rPr>
                <w:sz w:val="24"/>
                <w:szCs w:val="24"/>
              </w:rPr>
            </w:pPr>
            <w:r w:rsidRPr="00E16705">
              <w:rPr>
                <w:b/>
                <w:sz w:val="24"/>
                <w:szCs w:val="24"/>
              </w:rPr>
              <w:t>Tárgyfelelős intézet:</w:t>
            </w:r>
            <w:r w:rsidRPr="00E16705">
              <w:rPr>
                <w:sz w:val="24"/>
                <w:szCs w:val="24"/>
              </w:rPr>
              <w:t xml:space="preserve"> </w:t>
            </w:r>
          </w:p>
          <w:p w:rsidR="0010535D" w:rsidRPr="00E16705" w:rsidRDefault="0010535D">
            <w:pPr>
              <w:spacing w:after="0" w:line="240" w:lineRule="auto"/>
              <w:rPr>
                <w:i/>
                <w:color w:val="365F91" w:themeColor="accent1" w:themeShade="BF"/>
                <w:sz w:val="24"/>
                <w:szCs w:val="24"/>
              </w:rPr>
            </w:pPr>
          </w:p>
          <w:p w:rsidR="00E33EE8" w:rsidRPr="00E16705" w:rsidRDefault="00F23DFD">
            <w:pPr>
              <w:spacing w:after="0" w:line="240" w:lineRule="auto"/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>Európai és Nemzetközi Jogi Intézet</w:t>
            </w:r>
          </w:p>
          <w:p w:rsidR="00E33EE8" w:rsidRPr="00E16705" w:rsidRDefault="00B50936">
            <w:pPr>
              <w:spacing w:after="0" w:line="240" w:lineRule="auto"/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>Európajogi és Nemzetközi Magánjogi Tanszék</w:t>
            </w:r>
          </w:p>
        </w:tc>
      </w:tr>
      <w:tr w:rsidR="0010535D" w:rsidRPr="00E16705">
        <w:tc>
          <w:tcPr>
            <w:tcW w:w="4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E16705" w:rsidRDefault="001053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1CE" w:rsidRPr="00E16705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E16705">
              <w:rPr>
                <w:b/>
                <w:sz w:val="24"/>
                <w:szCs w:val="24"/>
              </w:rPr>
              <w:t>Tantárgyelem:</w:t>
            </w:r>
            <w:r w:rsidRPr="00E16705">
              <w:rPr>
                <w:sz w:val="24"/>
                <w:szCs w:val="24"/>
              </w:rPr>
              <w:t xml:space="preserve"> </w:t>
            </w:r>
          </w:p>
          <w:p w:rsidR="004A3CD5" w:rsidRPr="00E16705" w:rsidRDefault="00E33EE8" w:rsidP="004A3CD5">
            <w:pPr>
              <w:tabs>
                <w:tab w:val="left" w:pos="1170"/>
              </w:tabs>
              <w:spacing w:after="0" w:line="240" w:lineRule="auto"/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>kötelez</w:t>
            </w:r>
            <w:r w:rsidR="004A3CD5" w:rsidRPr="00E16705">
              <w:rPr>
                <w:sz w:val="24"/>
                <w:szCs w:val="24"/>
              </w:rPr>
              <w:t xml:space="preserve">ő tárgy </w:t>
            </w:r>
          </w:p>
        </w:tc>
      </w:tr>
      <w:tr w:rsidR="0010535D" w:rsidRPr="00E16705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E16705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E16705">
              <w:rPr>
                <w:b/>
                <w:sz w:val="24"/>
                <w:szCs w:val="24"/>
              </w:rPr>
              <w:t>Tárgyfelelős:</w:t>
            </w:r>
            <w:r w:rsidRPr="00E16705">
              <w:rPr>
                <w:sz w:val="24"/>
                <w:szCs w:val="24"/>
              </w:rPr>
              <w:t xml:space="preserve"> </w:t>
            </w:r>
          </w:p>
          <w:p w:rsidR="00E33EE8" w:rsidRPr="00E16705" w:rsidRDefault="00BB6741">
            <w:pPr>
              <w:spacing w:after="0" w:line="240" w:lineRule="auto"/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>Dr.</w:t>
            </w:r>
            <w:r w:rsidR="00492584" w:rsidRPr="00E16705">
              <w:rPr>
                <w:sz w:val="24"/>
                <w:szCs w:val="24"/>
              </w:rPr>
              <w:t xml:space="preserve"> habil.</w:t>
            </w:r>
            <w:r w:rsidRPr="00E16705">
              <w:rPr>
                <w:sz w:val="24"/>
                <w:szCs w:val="24"/>
              </w:rPr>
              <w:t xml:space="preserve"> </w:t>
            </w:r>
            <w:r w:rsidR="00492584" w:rsidRPr="00E16705">
              <w:rPr>
                <w:sz w:val="24"/>
                <w:szCs w:val="24"/>
              </w:rPr>
              <w:t xml:space="preserve">Angyal Zoltán </w:t>
            </w:r>
            <w:r w:rsidR="00B50936" w:rsidRPr="00E16705">
              <w:rPr>
                <w:sz w:val="24"/>
                <w:szCs w:val="24"/>
              </w:rPr>
              <w:t>egyetemi docens</w:t>
            </w:r>
          </w:p>
        </w:tc>
      </w:tr>
      <w:tr w:rsidR="0010535D" w:rsidRPr="00E16705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E16705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E16705">
              <w:rPr>
                <w:b/>
                <w:sz w:val="24"/>
                <w:szCs w:val="24"/>
              </w:rPr>
              <w:t xml:space="preserve">Közreműködő </w:t>
            </w:r>
            <w:proofErr w:type="gramStart"/>
            <w:r w:rsidRPr="00E16705">
              <w:rPr>
                <w:b/>
                <w:sz w:val="24"/>
                <w:szCs w:val="24"/>
              </w:rPr>
              <w:t>oktató(</w:t>
            </w:r>
            <w:proofErr w:type="gramEnd"/>
            <w:r w:rsidRPr="00E16705">
              <w:rPr>
                <w:b/>
                <w:sz w:val="24"/>
                <w:szCs w:val="24"/>
              </w:rPr>
              <w:t>k):</w:t>
            </w:r>
            <w:r w:rsidRPr="00E16705">
              <w:rPr>
                <w:sz w:val="24"/>
                <w:szCs w:val="24"/>
              </w:rPr>
              <w:t xml:space="preserve"> </w:t>
            </w:r>
          </w:p>
          <w:p w:rsidR="00BB6741" w:rsidRPr="00E16705" w:rsidRDefault="00B50936" w:rsidP="00F23DFD">
            <w:pPr>
              <w:spacing w:after="0" w:line="240" w:lineRule="auto"/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>Dr. Marinkás György, PhD egyetemi adjunktus</w:t>
            </w:r>
          </w:p>
        </w:tc>
      </w:tr>
      <w:tr w:rsidR="0010535D" w:rsidRPr="00E16705"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E16705" w:rsidRDefault="0077591B" w:rsidP="00955A1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16705">
              <w:rPr>
                <w:b/>
                <w:sz w:val="24"/>
                <w:szCs w:val="24"/>
              </w:rPr>
              <w:t xml:space="preserve">Javasolt félév: </w:t>
            </w:r>
          </w:p>
          <w:p w:rsidR="00955A17" w:rsidRPr="00E16705" w:rsidRDefault="00955A17" w:rsidP="004A5B83">
            <w:pPr>
              <w:spacing w:after="0" w:line="240" w:lineRule="auto"/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 xml:space="preserve">félév- </w:t>
            </w:r>
            <w:r w:rsidR="00F23DFD" w:rsidRPr="00E16705">
              <w:rPr>
                <w:sz w:val="24"/>
                <w:szCs w:val="24"/>
              </w:rPr>
              <w:t>tavaszi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EE6" w:rsidRPr="00E16705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E16705">
              <w:rPr>
                <w:b/>
                <w:sz w:val="24"/>
                <w:szCs w:val="24"/>
              </w:rPr>
              <w:t>Előfeltétel:</w:t>
            </w:r>
            <w:r w:rsidRPr="00E16705">
              <w:rPr>
                <w:sz w:val="24"/>
                <w:szCs w:val="24"/>
              </w:rPr>
              <w:t xml:space="preserve"> </w:t>
            </w:r>
          </w:p>
          <w:p w:rsidR="0010535D" w:rsidRPr="00E16705" w:rsidRDefault="00F23DFD" w:rsidP="001F4350">
            <w:pPr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>Polgári jogi alapismeretek</w:t>
            </w:r>
          </w:p>
        </w:tc>
      </w:tr>
      <w:tr w:rsidR="0010535D" w:rsidRPr="00E16705"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EE6" w:rsidRPr="00E16705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E16705">
              <w:rPr>
                <w:b/>
                <w:sz w:val="24"/>
                <w:szCs w:val="24"/>
              </w:rPr>
              <w:t>Óraszám/hét:</w:t>
            </w:r>
            <w:r w:rsidRPr="00E16705">
              <w:rPr>
                <w:sz w:val="24"/>
                <w:szCs w:val="24"/>
              </w:rPr>
              <w:t xml:space="preserve"> </w:t>
            </w:r>
          </w:p>
          <w:p w:rsidR="00955A17" w:rsidRPr="00E16705" w:rsidRDefault="00955A17">
            <w:pPr>
              <w:spacing w:after="0" w:line="240" w:lineRule="auto"/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 xml:space="preserve">nappali: </w:t>
            </w:r>
            <w:r w:rsidR="00B50936" w:rsidRPr="00E16705">
              <w:rPr>
                <w:sz w:val="24"/>
                <w:szCs w:val="24"/>
              </w:rPr>
              <w:t>2</w:t>
            </w:r>
            <w:r w:rsidRPr="00E16705">
              <w:rPr>
                <w:sz w:val="24"/>
                <w:szCs w:val="24"/>
              </w:rPr>
              <w:t xml:space="preserve">óra/hét, </w:t>
            </w:r>
          </w:p>
          <w:p w:rsidR="0010535D" w:rsidRPr="00E16705" w:rsidRDefault="00955A17">
            <w:pPr>
              <w:spacing w:after="0" w:line="240" w:lineRule="auto"/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>levelező:</w:t>
            </w:r>
            <w:r w:rsidR="00A47C2C" w:rsidRPr="00E16705">
              <w:rPr>
                <w:sz w:val="24"/>
                <w:szCs w:val="24"/>
              </w:rPr>
              <w:t>1</w:t>
            </w:r>
            <w:r w:rsidR="00F23DFD" w:rsidRPr="00E16705">
              <w:rPr>
                <w:sz w:val="24"/>
                <w:szCs w:val="24"/>
              </w:rPr>
              <w:t>4</w:t>
            </w:r>
            <w:r w:rsidRPr="00E16705">
              <w:rPr>
                <w:sz w:val="24"/>
                <w:szCs w:val="24"/>
              </w:rPr>
              <w:t>óra/félév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0D7" w:rsidRPr="00E16705" w:rsidRDefault="0077591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16705">
              <w:rPr>
                <w:b/>
                <w:sz w:val="24"/>
                <w:szCs w:val="24"/>
              </w:rPr>
              <w:t xml:space="preserve">Számonkérés módja: </w:t>
            </w:r>
          </w:p>
          <w:p w:rsidR="0010535D" w:rsidRPr="00E16705" w:rsidRDefault="00A47C2C">
            <w:pPr>
              <w:spacing w:after="0" w:line="240" w:lineRule="auto"/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>kollokvium</w:t>
            </w:r>
          </w:p>
        </w:tc>
      </w:tr>
      <w:tr w:rsidR="0010535D" w:rsidRPr="00E16705"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0FB" w:rsidRPr="00E16705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E16705">
              <w:rPr>
                <w:b/>
                <w:sz w:val="24"/>
                <w:szCs w:val="24"/>
              </w:rPr>
              <w:t>Kreditpont:</w:t>
            </w:r>
            <w:r w:rsidRPr="00E16705">
              <w:rPr>
                <w:sz w:val="24"/>
                <w:szCs w:val="24"/>
              </w:rPr>
              <w:t xml:space="preserve"> </w:t>
            </w:r>
          </w:p>
          <w:p w:rsidR="0010535D" w:rsidRPr="00E16705" w:rsidRDefault="00A47C2C">
            <w:pPr>
              <w:spacing w:after="0" w:line="240" w:lineRule="auto"/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>4</w:t>
            </w:r>
            <w:r w:rsidR="003E287F" w:rsidRPr="00E16705">
              <w:rPr>
                <w:sz w:val="24"/>
                <w:szCs w:val="24"/>
              </w:rPr>
              <w:t>kredit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0FB" w:rsidRPr="00E16705" w:rsidRDefault="007D32F7">
            <w:pPr>
              <w:spacing w:after="0" w:line="240" w:lineRule="auto"/>
              <w:rPr>
                <w:sz w:val="24"/>
                <w:szCs w:val="24"/>
              </w:rPr>
            </w:pPr>
            <w:r w:rsidRPr="00E16705">
              <w:rPr>
                <w:b/>
                <w:sz w:val="24"/>
                <w:szCs w:val="24"/>
              </w:rPr>
              <w:t>Munkarend</w:t>
            </w:r>
            <w:r w:rsidR="0077591B" w:rsidRPr="00E16705">
              <w:rPr>
                <w:b/>
                <w:sz w:val="24"/>
                <w:szCs w:val="24"/>
              </w:rPr>
              <w:t>:</w:t>
            </w:r>
            <w:r w:rsidR="0077591B" w:rsidRPr="00E16705">
              <w:rPr>
                <w:sz w:val="24"/>
                <w:szCs w:val="24"/>
              </w:rPr>
              <w:t xml:space="preserve"> </w:t>
            </w:r>
          </w:p>
          <w:p w:rsidR="0010535D" w:rsidRPr="00E16705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 xml:space="preserve">nappali / levelező </w:t>
            </w:r>
          </w:p>
        </w:tc>
      </w:tr>
      <w:tr w:rsidR="0010535D" w:rsidRPr="00E16705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E16705" w:rsidRDefault="0077591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16705">
              <w:rPr>
                <w:b/>
                <w:sz w:val="24"/>
                <w:szCs w:val="24"/>
              </w:rPr>
              <w:t>Tantárgy feladata és célja:</w:t>
            </w:r>
          </w:p>
          <w:p w:rsidR="00B50936" w:rsidRPr="00E16705" w:rsidRDefault="00B50936" w:rsidP="00B50936">
            <w:pPr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>A tárgy feladata, hogy a hallgatók megismerkedjenek az intézményesített európai integráció létrejöttével és történetével, az Európai Unió intézményrendszerével, az Európai Unió Bíróságának rendszerével és fontosabb eljárásaival, valamint az uniós jog elveivel.</w:t>
            </w:r>
          </w:p>
          <w:p w:rsidR="00F23DFD" w:rsidRPr="00E16705" w:rsidRDefault="00F23DF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10535D" w:rsidRPr="00E16705" w:rsidRDefault="0077591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16705">
              <w:rPr>
                <w:b/>
                <w:sz w:val="24"/>
                <w:szCs w:val="24"/>
              </w:rPr>
              <w:t xml:space="preserve">Fejlesztendő </w:t>
            </w:r>
            <w:proofErr w:type="gramStart"/>
            <w:r w:rsidRPr="00E16705">
              <w:rPr>
                <w:b/>
                <w:sz w:val="24"/>
                <w:szCs w:val="24"/>
              </w:rPr>
              <w:t>kompetenciák</w:t>
            </w:r>
            <w:proofErr w:type="gramEnd"/>
            <w:r w:rsidRPr="00E16705">
              <w:rPr>
                <w:b/>
                <w:sz w:val="24"/>
                <w:szCs w:val="24"/>
              </w:rPr>
              <w:t>:</w:t>
            </w:r>
          </w:p>
          <w:p w:rsidR="0010535D" w:rsidRPr="00E16705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E16705">
              <w:rPr>
                <w:b/>
                <w:i/>
                <w:sz w:val="24"/>
                <w:szCs w:val="24"/>
              </w:rPr>
              <w:t>tudás:</w:t>
            </w:r>
            <w:r w:rsidRPr="00E16705">
              <w:rPr>
                <w:sz w:val="24"/>
                <w:szCs w:val="24"/>
              </w:rPr>
              <w:t xml:space="preserve"> </w:t>
            </w:r>
            <w:r w:rsidR="0077799C" w:rsidRPr="00E16705">
              <w:rPr>
                <w:sz w:val="24"/>
                <w:szCs w:val="24"/>
              </w:rPr>
              <w:t>T</w:t>
            </w:r>
            <w:r w:rsidR="00E278A0" w:rsidRPr="00E16705">
              <w:rPr>
                <w:sz w:val="24"/>
                <w:szCs w:val="24"/>
              </w:rPr>
              <w:t>5</w:t>
            </w:r>
          </w:p>
          <w:p w:rsidR="0010535D" w:rsidRPr="00E16705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E16705">
              <w:rPr>
                <w:b/>
                <w:i/>
                <w:sz w:val="24"/>
                <w:szCs w:val="24"/>
              </w:rPr>
              <w:t>képesség:</w:t>
            </w:r>
            <w:r w:rsidRPr="00E16705">
              <w:rPr>
                <w:sz w:val="24"/>
                <w:szCs w:val="24"/>
              </w:rPr>
              <w:t xml:space="preserve"> </w:t>
            </w:r>
            <w:r w:rsidR="003E287F" w:rsidRPr="00E16705">
              <w:rPr>
                <w:sz w:val="24"/>
                <w:szCs w:val="24"/>
              </w:rPr>
              <w:t>K</w:t>
            </w:r>
            <w:r w:rsidR="00E278A0" w:rsidRPr="00E16705">
              <w:rPr>
                <w:sz w:val="24"/>
                <w:szCs w:val="24"/>
              </w:rPr>
              <w:t>3</w:t>
            </w:r>
          </w:p>
          <w:p w:rsidR="0010535D" w:rsidRPr="00E16705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E16705">
              <w:rPr>
                <w:b/>
                <w:i/>
                <w:sz w:val="24"/>
                <w:szCs w:val="24"/>
              </w:rPr>
              <w:t>attitűd:</w:t>
            </w:r>
            <w:r w:rsidRPr="00E16705">
              <w:rPr>
                <w:sz w:val="24"/>
                <w:szCs w:val="24"/>
              </w:rPr>
              <w:t xml:space="preserve"> </w:t>
            </w:r>
            <w:r w:rsidR="003E287F" w:rsidRPr="00E16705">
              <w:rPr>
                <w:sz w:val="24"/>
                <w:szCs w:val="24"/>
              </w:rPr>
              <w:t>A</w:t>
            </w:r>
            <w:r w:rsidR="0096244C" w:rsidRPr="00E16705">
              <w:rPr>
                <w:sz w:val="24"/>
                <w:szCs w:val="24"/>
              </w:rPr>
              <w:t>2</w:t>
            </w:r>
          </w:p>
          <w:p w:rsidR="0010535D" w:rsidRPr="00E16705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E16705">
              <w:rPr>
                <w:b/>
                <w:i/>
                <w:sz w:val="24"/>
                <w:szCs w:val="24"/>
              </w:rPr>
              <w:t>autonómia</w:t>
            </w:r>
            <w:r w:rsidR="00AA1BDC" w:rsidRPr="00E16705">
              <w:rPr>
                <w:b/>
                <w:i/>
                <w:sz w:val="24"/>
                <w:szCs w:val="24"/>
              </w:rPr>
              <w:t xml:space="preserve"> és felelősség</w:t>
            </w:r>
            <w:r w:rsidRPr="00E16705">
              <w:rPr>
                <w:b/>
                <w:i/>
                <w:sz w:val="24"/>
                <w:szCs w:val="24"/>
              </w:rPr>
              <w:t>:</w:t>
            </w:r>
            <w:r w:rsidRPr="00E16705">
              <w:rPr>
                <w:sz w:val="24"/>
                <w:szCs w:val="24"/>
              </w:rPr>
              <w:t xml:space="preserve"> </w:t>
            </w:r>
            <w:r w:rsidR="003E287F" w:rsidRPr="00E16705">
              <w:rPr>
                <w:sz w:val="24"/>
                <w:szCs w:val="24"/>
              </w:rPr>
              <w:t>F</w:t>
            </w:r>
            <w:r w:rsidR="00E278A0" w:rsidRPr="00E16705">
              <w:rPr>
                <w:sz w:val="24"/>
                <w:szCs w:val="24"/>
              </w:rPr>
              <w:t>2</w:t>
            </w:r>
            <w:r w:rsidR="0096244C" w:rsidRPr="00E16705">
              <w:rPr>
                <w:sz w:val="24"/>
                <w:szCs w:val="24"/>
              </w:rPr>
              <w:t>, F</w:t>
            </w:r>
            <w:r w:rsidR="00E278A0" w:rsidRPr="00E16705">
              <w:rPr>
                <w:sz w:val="24"/>
                <w:szCs w:val="24"/>
              </w:rPr>
              <w:t>4</w:t>
            </w:r>
          </w:p>
        </w:tc>
      </w:tr>
      <w:tr w:rsidR="0010535D" w:rsidRPr="00E16705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E16705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E16705">
              <w:rPr>
                <w:b/>
                <w:sz w:val="24"/>
                <w:szCs w:val="24"/>
              </w:rPr>
              <w:t>Tantárgy tematikus leírása:</w:t>
            </w:r>
          </w:p>
        </w:tc>
      </w:tr>
      <w:tr w:rsidR="003E287F" w:rsidRPr="00E16705" w:rsidTr="00C8582E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87F" w:rsidRPr="00E16705" w:rsidRDefault="00A47C2C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E16705">
              <w:rPr>
                <w:b/>
                <w:i/>
                <w:sz w:val="24"/>
                <w:szCs w:val="24"/>
                <w:u w:val="single"/>
              </w:rPr>
              <w:t>Előadás</w:t>
            </w:r>
            <w:r w:rsidRPr="00E16705">
              <w:rPr>
                <w:b/>
                <w:i/>
                <w:sz w:val="24"/>
                <w:szCs w:val="24"/>
              </w:rPr>
              <w:t>/Gyakorlat</w:t>
            </w:r>
          </w:p>
          <w:p w:rsidR="003E287F" w:rsidRPr="00E16705" w:rsidRDefault="003E287F" w:rsidP="003E287F">
            <w:pPr>
              <w:spacing w:after="0" w:line="240" w:lineRule="auto"/>
              <w:rPr>
                <w:sz w:val="24"/>
                <w:szCs w:val="24"/>
              </w:rPr>
            </w:pPr>
          </w:p>
          <w:p w:rsidR="00B50936" w:rsidRPr="00E16705" w:rsidRDefault="00B50936" w:rsidP="00B50936">
            <w:pPr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>1.</w:t>
            </w:r>
            <w:r w:rsidRPr="00E16705">
              <w:rPr>
                <w:sz w:val="24"/>
                <w:szCs w:val="24"/>
              </w:rPr>
              <w:tab/>
              <w:t>Az európai integráció előtörténete és fejlődési irányai második világháború után. Az Európa Tanács, az OECD és a NATO megalakulása</w:t>
            </w:r>
          </w:p>
          <w:p w:rsidR="00B50936" w:rsidRPr="00E16705" w:rsidRDefault="00B50936" w:rsidP="00B50936">
            <w:pPr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>2.</w:t>
            </w:r>
            <w:r w:rsidRPr="00E16705">
              <w:rPr>
                <w:sz w:val="24"/>
                <w:szCs w:val="24"/>
              </w:rPr>
              <w:tab/>
              <w:t>Az ESZAK, az EGK és az EURATOM megalakulásának előzményei és az alapító szerződések</w:t>
            </w:r>
          </w:p>
          <w:p w:rsidR="00B50936" w:rsidRPr="00E16705" w:rsidRDefault="00B50936" w:rsidP="00B50936">
            <w:pPr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>3.</w:t>
            </w:r>
            <w:r w:rsidRPr="00E16705">
              <w:rPr>
                <w:sz w:val="24"/>
                <w:szCs w:val="24"/>
              </w:rPr>
              <w:tab/>
              <w:t>Az integráció kibővülése 2013-ig. Az integráció belső elmélyülése 1986-ig. Az Egységes Európai Okmány</w:t>
            </w:r>
          </w:p>
          <w:p w:rsidR="00B50936" w:rsidRPr="00E16705" w:rsidRDefault="00B50936" w:rsidP="00B50936">
            <w:pPr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lastRenderedPageBreak/>
              <w:t>4.</w:t>
            </w:r>
            <w:r w:rsidRPr="00E16705">
              <w:rPr>
                <w:sz w:val="24"/>
                <w:szCs w:val="24"/>
              </w:rPr>
              <w:tab/>
              <w:t xml:space="preserve">A Maastrichti Szerződés és az Európai Unió egykori </w:t>
            </w:r>
            <w:proofErr w:type="gramStart"/>
            <w:r w:rsidRPr="00E16705">
              <w:rPr>
                <w:sz w:val="24"/>
                <w:szCs w:val="24"/>
              </w:rPr>
              <w:t>három pilléres</w:t>
            </w:r>
            <w:proofErr w:type="gramEnd"/>
            <w:r w:rsidRPr="00E16705">
              <w:rPr>
                <w:sz w:val="24"/>
                <w:szCs w:val="24"/>
              </w:rPr>
              <w:t xml:space="preserve"> szerkezeti felépítése Az Egységes Európai Okmány</w:t>
            </w:r>
          </w:p>
          <w:p w:rsidR="00B50936" w:rsidRPr="00E16705" w:rsidRDefault="00B50936" w:rsidP="00B50936">
            <w:pPr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>5.</w:t>
            </w:r>
            <w:r w:rsidRPr="00E16705">
              <w:rPr>
                <w:sz w:val="24"/>
                <w:szCs w:val="24"/>
              </w:rPr>
              <w:tab/>
              <w:t xml:space="preserve">Az Amszterdami Szerződés és a Nizzai Szerződés </w:t>
            </w:r>
          </w:p>
          <w:p w:rsidR="00B50936" w:rsidRPr="00E16705" w:rsidRDefault="00B50936" w:rsidP="00B50936">
            <w:pPr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>6.</w:t>
            </w:r>
            <w:r w:rsidRPr="00E16705">
              <w:rPr>
                <w:sz w:val="24"/>
                <w:szCs w:val="24"/>
              </w:rPr>
              <w:tab/>
              <w:t>Az EU reformja: az Európai Konvent, az Európai Alkotmány és a Lisszaboni Szerződés</w:t>
            </w:r>
          </w:p>
          <w:p w:rsidR="00B50936" w:rsidRPr="00E16705" w:rsidRDefault="00B50936" w:rsidP="00B50936">
            <w:pPr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>7.</w:t>
            </w:r>
            <w:r w:rsidRPr="00E16705">
              <w:rPr>
                <w:sz w:val="24"/>
                <w:szCs w:val="24"/>
              </w:rPr>
              <w:tab/>
              <w:t>Az EU intézményrendszerének jellege, alapelvei és csoportosítása</w:t>
            </w:r>
          </w:p>
          <w:p w:rsidR="00B50936" w:rsidRPr="00E16705" w:rsidRDefault="00B50936" w:rsidP="00B50936">
            <w:pPr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>8.</w:t>
            </w:r>
            <w:r w:rsidRPr="00E16705">
              <w:rPr>
                <w:sz w:val="24"/>
                <w:szCs w:val="24"/>
              </w:rPr>
              <w:tab/>
              <w:t>Az Európai Tanács</w:t>
            </w:r>
          </w:p>
          <w:p w:rsidR="00B50936" w:rsidRPr="00E16705" w:rsidRDefault="00B50936" w:rsidP="00B50936">
            <w:pPr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>9.</w:t>
            </w:r>
            <w:r w:rsidRPr="00E16705">
              <w:rPr>
                <w:sz w:val="24"/>
                <w:szCs w:val="24"/>
              </w:rPr>
              <w:tab/>
              <w:t>Az Európai Unió Tanácsa</w:t>
            </w:r>
          </w:p>
          <w:p w:rsidR="00B50936" w:rsidRPr="00E16705" w:rsidRDefault="00B50936" w:rsidP="00B50936">
            <w:pPr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>10.</w:t>
            </w:r>
            <w:r w:rsidRPr="00E16705">
              <w:rPr>
                <w:sz w:val="24"/>
                <w:szCs w:val="24"/>
              </w:rPr>
              <w:tab/>
              <w:t>Az Európai Bizottság</w:t>
            </w:r>
          </w:p>
          <w:p w:rsidR="00B50936" w:rsidRPr="00E16705" w:rsidRDefault="00B50936" w:rsidP="00B50936">
            <w:pPr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>11.</w:t>
            </w:r>
            <w:r w:rsidRPr="00E16705">
              <w:rPr>
                <w:sz w:val="24"/>
                <w:szCs w:val="24"/>
              </w:rPr>
              <w:tab/>
              <w:t xml:space="preserve">Az Európai Parlament és az európai ombudsman </w:t>
            </w:r>
          </w:p>
          <w:p w:rsidR="00B50936" w:rsidRPr="00E16705" w:rsidRDefault="00B50936" w:rsidP="00B50936">
            <w:pPr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>12.</w:t>
            </w:r>
            <w:r w:rsidRPr="00E16705">
              <w:rPr>
                <w:sz w:val="24"/>
                <w:szCs w:val="24"/>
              </w:rPr>
              <w:tab/>
              <w:t>Az Európai Központi Bank és az Európai Számvevőszék</w:t>
            </w:r>
          </w:p>
          <w:p w:rsidR="00B50936" w:rsidRPr="00E16705" w:rsidRDefault="00B50936" w:rsidP="00B50936">
            <w:pPr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>13.</w:t>
            </w:r>
            <w:r w:rsidRPr="00E16705">
              <w:rPr>
                <w:sz w:val="24"/>
                <w:szCs w:val="24"/>
              </w:rPr>
              <w:tab/>
              <w:t>Az uniós jog elsődleges jogforrásai</w:t>
            </w:r>
          </w:p>
          <w:p w:rsidR="00B50936" w:rsidRPr="00E16705" w:rsidRDefault="00B50936" w:rsidP="00647B36">
            <w:pPr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>14.</w:t>
            </w:r>
            <w:r w:rsidRPr="00E16705">
              <w:rPr>
                <w:sz w:val="24"/>
                <w:szCs w:val="24"/>
              </w:rPr>
              <w:tab/>
              <w:t>Az uniós jog másodlagos jogforrásai</w:t>
            </w:r>
          </w:p>
          <w:p w:rsidR="00B50936" w:rsidRPr="00E16705" w:rsidRDefault="00647B36" w:rsidP="00B50936">
            <w:pPr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>15</w:t>
            </w:r>
            <w:r w:rsidR="00B50936" w:rsidRPr="00E16705">
              <w:rPr>
                <w:sz w:val="24"/>
                <w:szCs w:val="24"/>
              </w:rPr>
              <w:t>.</w:t>
            </w:r>
            <w:r w:rsidR="00B50936" w:rsidRPr="00E16705">
              <w:rPr>
                <w:sz w:val="24"/>
                <w:szCs w:val="24"/>
              </w:rPr>
              <w:tab/>
              <w:t>A rendes jogalkotási eljárás és a különleges jogalkotási eljárások</w:t>
            </w:r>
          </w:p>
          <w:p w:rsidR="00B50936" w:rsidRPr="00E16705" w:rsidRDefault="00647B36" w:rsidP="00B50936">
            <w:pPr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>16</w:t>
            </w:r>
            <w:r w:rsidR="00B50936" w:rsidRPr="00E16705">
              <w:rPr>
                <w:sz w:val="24"/>
                <w:szCs w:val="24"/>
              </w:rPr>
              <w:t>.</w:t>
            </w:r>
            <w:r w:rsidR="00B50936" w:rsidRPr="00E16705">
              <w:rPr>
                <w:sz w:val="24"/>
                <w:szCs w:val="24"/>
              </w:rPr>
              <w:tab/>
              <w:t>Az Európai Unió Bírósága I.: a Bíróság</w:t>
            </w:r>
          </w:p>
          <w:p w:rsidR="00B50936" w:rsidRPr="00E16705" w:rsidRDefault="00647B36" w:rsidP="00B50936">
            <w:pPr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>17</w:t>
            </w:r>
            <w:r w:rsidR="00B50936" w:rsidRPr="00E16705">
              <w:rPr>
                <w:sz w:val="24"/>
                <w:szCs w:val="24"/>
              </w:rPr>
              <w:t>.</w:t>
            </w:r>
            <w:r w:rsidR="00B50936" w:rsidRPr="00E16705">
              <w:rPr>
                <w:sz w:val="24"/>
                <w:szCs w:val="24"/>
              </w:rPr>
              <w:tab/>
              <w:t>Az Európai Unió</w:t>
            </w:r>
            <w:r w:rsidRPr="00E16705">
              <w:rPr>
                <w:sz w:val="24"/>
                <w:szCs w:val="24"/>
              </w:rPr>
              <w:t xml:space="preserve"> Bírósága II</w:t>
            </w:r>
            <w:proofErr w:type="gramStart"/>
            <w:r w:rsidRPr="00E16705">
              <w:rPr>
                <w:sz w:val="24"/>
                <w:szCs w:val="24"/>
              </w:rPr>
              <w:t>.:</w:t>
            </w:r>
            <w:proofErr w:type="gramEnd"/>
            <w:r w:rsidRPr="00E16705">
              <w:rPr>
                <w:sz w:val="24"/>
                <w:szCs w:val="24"/>
              </w:rPr>
              <w:t xml:space="preserve"> A Törvényszék</w:t>
            </w:r>
          </w:p>
          <w:p w:rsidR="00B50936" w:rsidRPr="00E16705" w:rsidRDefault="00647B36" w:rsidP="00B50936">
            <w:pPr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>18</w:t>
            </w:r>
            <w:r w:rsidR="00B50936" w:rsidRPr="00E16705">
              <w:rPr>
                <w:sz w:val="24"/>
                <w:szCs w:val="24"/>
              </w:rPr>
              <w:t>.</w:t>
            </w:r>
            <w:r w:rsidR="00B50936" w:rsidRPr="00E16705">
              <w:rPr>
                <w:sz w:val="24"/>
                <w:szCs w:val="24"/>
              </w:rPr>
              <w:tab/>
              <w:t>Bírósági eljárások I.: A tagállami kötelezettségszegés megállapítása iránti eljárások</w:t>
            </w:r>
          </w:p>
          <w:p w:rsidR="00B50936" w:rsidRPr="00E16705" w:rsidRDefault="00647B36" w:rsidP="00B50936">
            <w:pPr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>19</w:t>
            </w:r>
            <w:r w:rsidR="00B50936" w:rsidRPr="00E16705">
              <w:rPr>
                <w:sz w:val="24"/>
                <w:szCs w:val="24"/>
              </w:rPr>
              <w:t>.</w:t>
            </w:r>
            <w:r w:rsidR="00B50936" w:rsidRPr="00E16705">
              <w:rPr>
                <w:sz w:val="24"/>
                <w:szCs w:val="24"/>
              </w:rPr>
              <w:tab/>
              <w:t>Bírósági eljárások II.: A semmisségi eljárás és a mulasztási eljárás</w:t>
            </w:r>
          </w:p>
          <w:p w:rsidR="00B50936" w:rsidRPr="00E16705" w:rsidRDefault="00647B36" w:rsidP="00B50936">
            <w:pPr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>20</w:t>
            </w:r>
            <w:r w:rsidR="00B50936" w:rsidRPr="00E16705">
              <w:rPr>
                <w:sz w:val="24"/>
                <w:szCs w:val="24"/>
              </w:rPr>
              <w:t>.</w:t>
            </w:r>
            <w:r w:rsidR="00B50936" w:rsidRPr="00E16705">
              <w:rPr>
                <w:sz w:val="24"/>
                <w:szCs w:val="24"/>
              </w:rPr>
              <w:tab/>
              <w:t>Bírósági eljárások III</w:t>
            </w:r>
            <w:proofErr w:type="gramStart"/>
            <w:r w:rsidR="00B50936" w:rsidRPr="00E16705">
              <w:rPr>
                <w:sz w:val="24"/>
                <w:szCs w:val="24"/>
              </w:rPr>
              <w:t>.:</w:t>
            </w:r>
            <w:proofErr w:type="gramEnd"/>
            <w:r w:rsidR="00B50936" w:rsidRPr="00E16705">
              <w:rPr>
                <w:sz w:val="24"/>
                <w:szCs w:val="24"/>
              </w:rPr>
              <w:t xml:space="preserve"> Az előzetes döntéshozatali eljárás</w:t>
            </w:r>
          </w:p>
          <w:p w:rsidR="00B50936" w:rsidRPr="00E16705" w:rsidRDefault="00647B36" w:rsidP="00B50936">
            <w:pPr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>21</w:t>
            </w:r>
            <w:r w:rsidR="00B50936" w:rsidRPr="00E16705">
              <w:rPr>
                <w:sz w:val="24"/>
                <w:szCs w:val="24"/>
              </w:rPr>
              <w:t>.</w:t>
            </w:r>
            <w:r w:rsidR="00B50936" w:rsidRPr="00E16705">
              <w:rPr>
                <w:sz w:val="24"/>
                <w:szCs w:val="24"/>
              </w:rPr>
              <w:tab/>
              <w:t>Az uniós jog alapelvei I.: Az uniós jog elsőbbsége</w:t>
            </w:r>
          </w:p>
          <w:p w:rsidR="00B50936" w:rsidRPr="00E16705" w:rsidRDefault="00647B36" w:rsidP="00B50936">
            <w:pPr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>22</w:t>
            </w:r>
            <w:r w:rsidR="00B50936" w:rsidRPr="00E16705">
              <w:rPr>
                <w:sz w:val="24"/>
                <w:szCs w:val="24"/>
              </w:rPr>
              <w:t>.</w:t>
            </w:r>
            <w:r w:rsidR="00B50936" w:rsidRPr="00E16705">
              <w:rPr>
                <w:sz w:val="24"/>
                <w:szCs w:val="24"/>
              </w:rPr>
              <w:tab/>
              <w:t>Az uniós jog alapelvei II.: Az uniós jog közvetlen hatályának elve</w:t>
            </w:r>
          </w:p>
          <w:p w:rsidR="003E287F" w:rsidRPr="00E16705" w:rsidRDefault="00647B36" w:rsidP="00B50936">
            <w:pPr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>23</w:t>
            </w:r>
            <w:r w:rsidR="00B50936" w:rsidRPr="00E16705">
              <w:rPr>
                <w:sz w:val="24"/>
                <w:szCs w:val="24"/>
              </w:rPr>
              <w:t>.</w:t>
            </w:r>
            <w:r w:rsidR="00B50936" w:rsidRPr="00E16705">
              <w:rPr>
                <w:sz w:val="24"/>
                <w:szCs w:val="24"/>
              </w:rPr>
              <w:tab/>
              <w:t>Az uniós jog alapelvei III.: A tagállamok kártérítési felelőssége az uniós jog megsértése esetén</w:t>
            </w:r>
          </w:p>
        </w:tc>
      </w:tr>
      <w:tr w:rsidR="0010535D" w:rsidRPr="00E16705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8C1" w:rsidRPr="00E16705" w:rsidRDefault="0077591B" w:rsidP="007E2C61">
            <w:pPr>
              <w:spacing w:after="0" w:line="240" w:lineRule="auto"/>
              <w:rPr>
                <w:sz w:val="24"/>
                <w:szCs w:val="24"/>
              </w:rPr>
            </w:pPr>
            <w:r w:rsidRPr="00E16705">
              <w:rPr>
                <w:b/>
                <w:sz w:val="24"/>
                <w:szCs w:val="24"/>
              </w:rPr>
              <w:lastRenderedPageBreak/>
              <w:t>Félévközi számonkérés módja és értékelése:</w:t>
            </w:r>
            <w:r w:rsidR="00492584" w:rsidRPr="00E16705">
              <w:rPr>
                <w:b/>
                <w:sz w:val="24"/>
                <w:szCs w:val="24"/>
              </w:rPr>
              <w:t xml:space="preserve"> </w:t>
            </w:r>
            <w:r w:rsidR="00492584" w:rsidRPr="00E16705">
              <w:rPr>
                <w:sz w:val="24"/>
                <w:szCs w:val="24"/>
              </w:rPr>
              <w:t>Nincs ilyen.</w:t>
            </w:r>
          </w:p>
          <w:p w:rsidR="00492584" w:rsidRPr="00E16705" w:rsidRDefault="00492584" w:rsidP="007E2C6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10535D" w:rsidRPr="00E16705" w:rsidRDefault="0077591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16705">
              <w:rPr>
                <w:b/>
                <w:sz w:val="24"/>
                <w:szCs w:val="24"/>
              </w:rPr>
              <w:t>Gyakorlati jegy / kollokvium teljesítésének módja, értékelése:</w:t>
            </w:r>
          </w:p>
          <w:p w:rsidR="0010535D" w:rsidRPr="00E16705" w:rsidRDefault="00492584" w:rsidP="009708B0">
            <w:pPr>
              <w:spacing w:after="0" w:line="240" w:lineRule="auto"/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>Szóbeli vizsga.</w:t>
            </w:r>
          </w:p>
        </w:tc>
      </w:tr>
      <w:tr w:rsidR="0010535D" w:rsidRPr="00E16705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B83" w:rsidRPr="00E16705" w:rsidRDefault="004A5B83" w:rsidP="004A5B8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16705">
              <w:rPr>
                <w:b/>
                <w:sz w:val="24"/>
                <w:szCs w:val="24"/>
              </w:rPr>
              <w:t xml:space="preserve">Kötelező irodalom: </w:t>
            </w:r>
          </w:p>
          <w:p w:rsidR="004A5B83" w:rsidRPr="00E16705" w:rsidRDefault="004A5B83" w:rsidP="004A5B83">
            <w:pPr>
              <w:pStyle w:val="bek1"/>
              <w:numPr>
                <w:ilvl w:val="0"/>
                <w:numId w:val="2"/>
              </w:numPr>
              <w:spacing w:line="240" w:lineRule="auto"/>
              <w:ind w:left="342"/>
              <w:rPr>
                <w:szCs w:val="24"/>
              </w:rPr>
            </w:pPr>
            <w:r w:rsidRPr="00E16705">
              <w:rPr>
                <w:i/>
                <w:szCs w:val="24"/>
              </w:rPr>
              <w:t>EU-jog</w:t>
            </w:r>
            <w:r w:rsidRPr="00E16705">
              <w:rPr>
                <w:szCs w:val="24"/>
              </w:rPr>
              <w:t xml:space="preserve"> (</w:t>
            </w:r>
            <w:proofErr w:type="spellStart"/>
            <w:r w:rsidRPr="00E16705">
              <w:rPr>
                <w:szCs w:val="24"/>
              </w:rPr>
              <w:t>szerk</w:t>
            </w:r>
            <w:proofErr w:type="spellEnd"/>
            <w:r w:rsidRPr="00E16705">
              <w:rPr>
                <w:szCs w:val="24"/>
              </w:rPr>
              <w:t xml:space="preserve">: </w:t>
            </w:r>
            <w:proofErr w:type="spellStart"/>
            <w:r w:rsidRPr="00E16705">
              <w:rPr>
                <w:szCs w:val="24"/>
              </w:rPr>
              <w:t>Osztovits</w:t>
            </w:r>
            <w:proofErr w:type="spellEnd"/>
            <w:r w:rsidRPr="00E16705">
              <w:rPr>
                <w:szCs w:val="24"/>
              </w:rPr>
              <w:t xml:space="preserve"> András), HVG-ORAC Lap- és Könyvkiadó Kft., Budapest, 2015 (ez a tételsor alapja)</w:t>
            </w:r>
          </w:p>
          <w:p w:rsidR="004A5B83" w:rsidRPr="00E16705" w:rsidRDefault="004A5B83" w:rsidP="004A5B83">
            <w:pPr>
              <w:pStyle w:val="bek1"/>
              <w:numPr>
                <w:ilvl w:val="0"/>
                <w:numId w:val="2"/>
              </w:numPr>
              <w:spacing w:line="240" w:lineRule="auto"/>
              <w:ind w:left="342"/>
              <w:rPr>
                <w:szCs w:val="24"/>
              </w:rPr>
            </w:pPr>
            <w:r w:rsidRPr="00E16705">
              <w:rPr>
                <w:szCs w:val="24"/>
              </w:rPr>
              <w:t>EU-jog (</w:t>
            </w:r>
            <w:proofErr w:type="spellStart"/>
            <w:r w:rsidRPr="00E16705">
              <w:rPr>
                <w:szCs w:val="24"/>
              </w:rPr>
              <w:t>szerk</w:t>
            </w:r>
            <w:proofErr w:type="spellEnd"/>
            <w:r w:rsidRPr="00E16705">
              <w:rPr>
                <w:szCs w:val="24"/>
              </w:rPr>
              <w:t xml:space="preserve">: </w:t>
            </w:r>
            <w:proofErr w:type="spellStart"/>
            <w:r w:rsidRPr="00E16705">
              <w:rPr>
                <w:szCs w:val="24"/>
              </w:rPr>
              <w:t>Osztovits</w:t>
            </w:r>
            <w:proofErr w:type="spellEnd"/>
            <w:r w:rsidRPr="00E16705">
              <w:rPr>
                <w:szCs w:val="24"/>
              </w:rPr>
              <w:t xml:space="preserve"> András) HVG-ORAC Lap- és Könyvkiadó Kft., Budapest, 2012.</w:t>
            </w:r>
          </w:p>
          <w:p w:rsidR="004A5B83" w:rsidRPr="00E16705" w:rsidRDefault="004A5B83" w:rsidP="004A5B83">
            <w:pPr>
              <w:pStyle w:val="bek1"/>
              <w:numPr>
                <w:ilvl w:val="0"/>
                <w:numId w:val="2"/>
              </w:numPr>
              <w:spacing w:line="240" w:lineRule="auto"/>
              <w:ind w:left="342"/>
              <w:rPr>
                <w:szCs w:val="24"/>
              </w:rPr>
            </w:pPr>
            <w:r w:rsidRPr="00E16705">
              <w:rPr>
                <w:szCs w:val="24"/>
              </w:rPr>
              <w:t xml:space="preserve">Craig, P. – De </w:t>
            </w:r>
            <w:proofErr w:type="spellStart"/>
            <w:r w:rsidRPr="00E16705">
              <w:rPr>
                <w:szCs w:val="24"/>
              </w:rPr>
              <w:t>Búrca</w:t>
            </w:r>
            <w:proofErr w:type="spellEnd"/>
            <w:r w:rsidRPr="00E16705">
              <w:rPr>
                <w:szCs w:val="24"/>
              </w:rPr>
              <w:t>, G</w:t>
            </w:r>
            <w:proofErr w:type="gramStart"/>
            <w:r w:rsidRPr="00E16705">
              <w:rPr>
                <w:szCs w:val="24"/>
              </w:rPr>
              <w:t>.:</w:t>
            </w:r>
            <w:proofErr w:type="gramEnd"/>
            <w:r w:rsidRPr="00E16705">
              <w:rPr>
                <w:szCs w:val="24"/>
              </w:rPr>
              <w:t xml:space="preserve"> EU Law. Oxford University Press, Oxford, 2003.</w:t>
            </w:r>
          </w:p>
          <w:p w:rsidR="004A5B83" w:rsidRPr="00E16705" w:rsidRDefault="004A5B83" w:rsidP="004A5B8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A5B83" w:rsidRPr="00E16705" w:rsidRDefault="004A5B83" w:rsidP="004A5B8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16705">
              <w:rPr>
                <w:b/>
                <w:sz w:val="24"/>
                <w:szCs w:val="24"/>
              </w:rPr>
              <w:t xml:space="preserve">Ajánlott irodalom: </w:t>
            </w:r>
          </w:p>
          <w:p w:rsidR="004A5B83" w:rsidRPr="00E16705" w:rsidRDefault="004A5B83" w:rsidP="004A5B83">
            <w:pPr>
              <w:pStyle w:val="Listaszerbekezds"/>
              <w:numPr>
                <w:ilvl w:val="0"/>
                <w:numId w:val="1"/>
              </w:numPr>
              <w:ind w:left="342"/>
              <w:rPr>
                <w:sz w:val="24"/>
                <w:szCs w:val="24"/>
              </w:rPr>
            </w:pPr>
            <w:r w:rsidRPr="00E16705">
              <w:rPr>
                <w:sz w:val="24"/>
                <w:szCs w:val="24"/>
              </w:rPr>
              <w:t>Horváth Zoltán: Kézikönyv az Európai Unióról. HVG-ORAC, Budapest, 2011.</w:t>
            </w:r>
          </w:p>
          <w:p w:rsidR="004A5B83" w:rsidRPr="00E16705" w:rsidRDefault="004A5B83" w:rsidP="004A5B83">
            <w:pPr>
              <w:pStyle w:val="Listaszerbekezds"/>
              <w:numPr>
                <w:ilvl w:val="0"/>
                <w:numId w:val="1"/>
              </w:numPr>
              <w:ind w:left="342"/>
              <w:rPr>
                <w:sz w:val="24"/>
                <w:szCs w:val="24"/>
              </w:rPr>
            </w:pPr>
            <w:proofErr w:type="spellStart"/>
            <w:r w:rsidRPr="00E16705">
              <w:rPr>
                <w:sz w:val="24"/>
                <w:szCs w:val="24"/>
              </w:rPr>
              <w:t>Blutmann</w:t>
            </w:r>
            <w:proofErr w:type="spellEnd"/>
            <w:r w:rsidRPr="00E16705">
              <w:rPr>
                <w:sz w:val="24"/>
                <w:szCs w:val="24"/>
              </w:rPr>
              <w:t xml:space="preserve"> László: Az Európai Unió joga a gyakorlatban. HVG-ORAC, Budapest, 2010.</w:t>
            </w:r>
          </w:p>
          <w:p w:rsidR="0010535D" w:rsidRPr="00E16705" w:rsidRDefault="004A5B83" w:rsidP="004A5B83">
            <w:pPr>
              <w:pStyle w:val="Listaszerbekezds"/>
              <w:numPr>
                <w:ilvl w:val="0"/>
                <w:numId w:val="1"/>
              </w:numPr>
              <w:ind w:left="342"/>
              <w:rPr>
                <w:sz w:val="24"/>
                <w:szCs w:val="24"/>
              </w:rPr>
            </w:pPr>
            <w:proofErr w:type="spellStart"/>
            <w:r w:rsidRPr="00E16705">
              <w:rPr>
                <w:sz w:val="24"/>
                <w:szCs w:val="24"/>
              </w:rPr>
              <w:t>Lenaerts</w:t>
            </w:r>
            <w:proofErr w:type="spellEnd"/>
            <w:r w:rsidRPr="00E16705">
              <w:rPr>
                <w:sz w:val="24"/>
                <w:szCs w:val="24"/>
              </w:rPr>
              <w:t xml:space="preserve">, </w:t>
            </w:r>
            <w:proofErr w:type="spellStart"/>
            <w:r w:rsidRPr="00E16705">
              <w:rPr>
                <w:sz w:val="24"/>
                <w:szCs w:val="24"/>
              </w:rPr>
              <w:t>Koen</w:t>
            </w:r>
            <w:proofErr w:type="spellEnd"/>
            <w:r w:rsidRPr="00E16705">
              <w:rPr>
                <w:sz w:val="24"/>
                <w:szCs w:val="24"/>
              </w:rPr>
              <w:t xml:space="preserve"> – </w:t>
            </w:r>
            <w:proofErr w:type="spellStart"/>
            <w:r w:rsidRPr="00E16705">
              <w:rPr>
                <w:sz w:val="24"/>
                <w:szCs w:val="24"/>
              </w:rPr>
              <w:t>Nuffel</w:t>
            </w:r>
            <w:proofErr w:type="spellEnd"/>
            <w:r w:rsidRPr="00E16705">
              <w:rPr>
                <w:sz w:val="24"/>
                <w:szCs w:val="24"/>
              </w:rPr>
              <w:t xml:space="preserve">, </w:t>
            </w:r>
            <w:proofErr w:type="spellStart"/>
            <w:r w:rsidRPr="00E16705">
              <w:rPr>
                <w:sz w:val="24"/>
                <w:szCs w:val="24"/>
              </w:rPr>
              <w:t>Piet</w:t>
            </w:r>
            <w:proofErr w:type="spellEnd"/>
            <w:r w:rsidRPr="00E16705">
              <w:rPr>
                <w:sz w:val="24"/>
                <w:szCs w:val="24"/>
              </w:rPr>
              <w:t xml:space="preserve"> Van (</w:t>
            </w:r>
            <w:proofErr w:type="gramStart"/>
            <w:r w:rsidRPr="00E16705">
              <w:rPr>
                <w:sz w:val="24"/>
                <w:szCs w:val="24"/>
              </w:rPr>
              <w:t>editor</w:t>
            </w:r>
            <w:proofErr w:type="gramEnd"/>
            <w:r w:rsidRPr="00E16705">
              <w:rPr>
                <w:sz w:val="24"/>
                <w:szCs w:val="24"/>
              </w:rPr>
              <w:t xml:space="preserve">: Robert </w:t>
            </w:r>
            <w:proofErr w:type="spellStart"/>
            <w:r w:rsidRPr="00E16705">
              <w:rPr>
                <w:sz w:val="24"/>
                <w:szCs w:val="24"/>
              </w:rPr>
              <w:t>Bray</w:t>
            </w:r>
            <w:proofErr w:type="spellEnd"/>
            <w:r w:rsidRPr="00E16705">
              <w:rPr>
                <w:sz w:val="24"/>
                <w:szCs w:val="24"/>
              </w:rPr>
              <w:t xml:space="preserve">): </w:t>
            </w:r>
            <w:proofErr w:type="spellStart"/>
            <w:r w:rsidRPr="00E16705">
              <w:rPr>
                <w:sz w:val="24"/>
                <w:szCs w:val="24"/>
              </w:rPr>
              <w:t>Constitutional</w:t>
            </w:r>
            <w:proofErr w:type="spellEnd"/>
            <w:r w:rsidRPr="00E16705">
              <w:rPr>
                <w:sz w:val="24"/>
                <w:szCs w:val="24"/>
              </w:rPr>
              <w:t xml:space="preserve"> Law of </w:t>
            </w:r>
            <w:proofErr w:type="spellStart"/>
            <w:r w:rsidRPr="00E16705">
              <w:rPr>
                <w:sz w:val="24"/>
                <w:szCs w:val="24"/>
              </w:rPr>
              <w:t>the</w:t>
            </w:r>
            <w:proofErr w:type="spellEnd"/>
            <w:r w:rsidRPr="00E16705">
              <w:rPr>
                <w:sz w:val="24"/>
                <w:szCs w:val="24"/>
              </w:rPr>
              <w:t xml:space="preserve"> European Union. Sweet &amp; Maxwell </w:t>
            </w:r>
            <w:proofErr w:type="spellStart"/>
            <w:r w:rsidRPr="00E16705">
              <w:rPr>
                <w:sz w:val="24"/>
                <w:szCs w:val="24"/>
              </w:rPr>
              <w:t>Ltd</w:t>
            </w:r>
            <w:proofErr w:type="spellEnd"/>
            <w:r w:rsidRPr="00E16705">
              <w:rPr>
                <w:sz w:val="24"/>
                <w:szCs w:val="24"/>
              </w:rPr>
              <w:t xml:space="preserve">, </w:t>
            </w:r>
            <w:proofErr w:type="spellStart"/>
            <w:r w:rsidRPr="00E16705">
              <w:rPr>
                <w:sz w:val="24"/>
                <w:szCs w:val="24"/>
              </w:rPr>
              <w:t>Second</w:t>
            </w:r>
            <w:proofErr w:type="spellEnd"/>
            <w:r w:rsidRPr="00E16705">
              <w:rPr>
                <w:sz w:val="24"/>
                <w:szCs w:val="24"/>
              </w:rPr>
              <w:t xml:space="preserve"> Edition, London, 2005.</w:t>
            </w:r>
          </w:p>
        </w:tc>
      </w:tr>
    </w:tbl>
    <w:p w:rsidR="00D230F3" w:rsidRPr="00E16705" w:rsidRDefault="00D230F3" w:rsidP="00D230F3">
      <w:pPr>
        <w:rPr>
          <w:sz w:val="24"/>
          <w:szCs w:val="24"/>
        </w:rPr>
      </w:pPr>
    </w:p>
    <w:p w:rsidR="0010535D" w:rsidRPr="00E16705" w:rsidRDefault="0010535D">
      <w:pPr>
        <w:rPr>
          <w:sz w:val="24"/>
          <w:szCs w:val="24"/>
        </w:rPr>
      </w:pPr>
    </w:p>
    <w:sectPr w:rsidR="0010535D" w:rsidRPr="00E16705">
      <w:headerReference w:type="default" r:id="rId8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0D5" w:rsidRDefault="00F130D5">
      <w:pPr>
        <w:spacing w:after="0" w:line="240" w:lineRule="auto"/>
      </w:pPr>
      <w:r>
        <w:separator/>
      </w:r>
    </w:p>
  </w:endnote>
  <w:endnote w:type="continuationSeparator" w:id="0">
    <w:p w:rsidR="00F130D5" w:rsidRDefault="00F1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0D5" w:rsidRDefault="00F130D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F130D5" w:rsidRDefault="00F13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FED" w:rsidRDefault="004A5B83">
    <w:pPr>
      <w:pStyle w:val="lfej"/>
      <w:pBdr>
        <w:bottom w:val="double" w:sz="12" w:space="1" w:color="000000"/>
      </w:pBdr>
      <w:jc w:val="center"/>
      <w:rPr>
        <w:rFonts w:cs="Calibri"/>
        <w:smallCaps/>
        <w:szCs w:val="24"/>
      </w:rPr>
    </w:pPr>
    <w:r>
      <w:rPr>
        <w:rFonts w:cs="Calibri"/>
        <w:smallCaps/>
        <w:szCs w:val="24"/>
      </w:rPr>
      <w:t>Miskolci Egyetem állam- és jogtudományi</w:t>
    </w:r>
    <w:r w:rsidR="0077591B">
      <w:rPr>
        <w:rFonts w:cs="Calibri"/>
        <w:smallCaps/>
        <w:szCs w:val="24"/>
      </w:rPr>
      <w:t xml:space="preserve"> Kar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E5438E"/>
    <w:multiLevelType w:val="hybridMultilevel"/>
    <w:tmpl w:val="D772EA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pStyle w:val="Cmsor2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F245B"/>
    <w:multiLevelType w:val="hybridMultilevel"/>
    <w:tmpl w:val="CA3C0264"/>
    <w:lvl w:ilvl="0" w:tplc="040E000F">
      <w:start w:val="1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0E0019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E001B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19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E001B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19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E001B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35D"/>
    <w:rsid w:val="000168C1"/>
    <w:rsid w:val="0010535D"/>
    <w:rsid w:val="001B1D7D"/>
    <w:rsid w:val="001E35DD"/>
    <w:rsid w:val="001F4350"/>
    <w:rsid w:val="001F4CB2"/>
    <w:rsid w:val="0020453F"/>
    <w:rsid w:val="002F7AF4"/>
    <w:rsid w:val="00314128"/>
    <w:rsid w:val="00315AC0"/>
    <w:rsid w:val="003807B3"/>
    <w:rsid w:val="003A0C76"/>
    <w:rsid w:val="003A573B"/>
    <w:rsid w:val="003E287F"/>
    <w:rsid w:val="00413EC1"/>
    <w:rsid w:val="00467453"/>
    <w:rsid w:val="00476B3A"/>
    <w:rsid w:val="00492584"/>
    <w:rsid w:val="004A3CD5"/>
    <w:rsid w:val="004A5B83"/>
    <w:rsid w:val="004A63F3"/>
    <w:rsid w:val="00504B17"/>
    <w:rsid w:val="0057601B"/>
    <w:rsid w:val="005B34D3"/>
    <w:rsid w:val="005E561C"/>
    <w:rsid w:val="006079E1"/>
    <w:rsid w:val="00612067"/>
    <w:rsid w:val="006417E3"/>
    <w:rsid w:val="00647B36"/>
    <w:rsid w:val="00690B14"/>
    <w:rsid w:val="00691895"/>
    <w:rsid w:val="00720996"/>
    <w:rsid w:val="007267D9"/>
    <w:rsid w:val="0077591B"/>
    <w:rsid w:val="0077799C"/>
    <w:rsid w:val="007A2FF7"/>
    <w:rsid w:val="007D28EB"/>
    <w:rsid w:val="007D32F7"/>
    <w:rsid w:val="007D40BE"/>
    <w:rsid w:val="007D7821"/>
    <w:rsid w:val="007E2C61"/>
    <w:rsid w:val="007F1349"/>
    <w:rsid w:val="007F4F13"/>
    <w:rsid w:val="008B10D7"/>
    <w:rsid w:val="008C7F12"/>
    <w:rsid w:val="008F1A4E"/>
    <w:rsid w:val="009052C7"/>
    <w:rsid w:val="00921EDC"/>
    <w:rsid w:val="009321B8"/>
    <w:rsid w:val="00955A17"/>
    <w:rsid w:val="0096244C"/>
    <w:rsid w:val="009708B0"/>
    <w:rsid w:val="009D2F4A"/>
    <w:rsid w:val="009E1A7B"/>
    <w:rsid w:val="009E3759"/>
    <w:rsid w:val="009F3CFF"/>
    <w:rsid w:val="00A47C2C"/>
    <w:rsid w:val="00AA1BDC"/>
    <w:rsid w:val="00B061CE"/>
    <w:rsid w:val="00B37181"/>
    <w:rsid w:val="00B50936"/>
    <w:rsid w:val="00BB6741"/>
    <w:rsid w:val="00CC1391"/>
    <w:rsid w:val="00D1711A"/>
    <w:rsid w:val="00D22798"/>
    <w:rsid w:val="00D230F3"/>
    <w:rsid w:val="00D61F2A"/>
    <w:rsid w:val="00D74EE6"/>
    <w:rsid w:val="00D91E8E"/>
    <w:rsid w:val="00DA3810"/>
    <w:rsid w:val="00DC37BD"/>
    <w:rsid w:val="00DC521C"/>
    <w:rsid w:val="00DE3173"/>
    <w:rsid w:val="00DF1BA7"/>
    <w:rsid w:val="00E1647E"/>
    <w:rsid w:val="00E16705"/>
    <w:rsid w:val="00E278A0"/>
    <w:rsid w:val="00E33EE8"/>
    <w:rsid w:val="00E510FB"/>
    <w:rsid w:val="00E54A4E"/>
    <w:rsid w:val="00E56933"/>
    <w:rsid w:val="00E57DF8"/>
    <w:rsid w:val="00E97302"/>
    <w:rsid w:val="00F01EFE"/>
    <w:rsid w:val="00F130D5"/>
    <w:rsid w:val="00F13ED4"/>
    <w:rsid w:val="00F23DFD"/>
    <w:rsid w:val="00F3678C"/>
    <w:rsid w:val="00F57937"/>
    <w:rsid w:val="00F61593"/>
    <w:rsid w:val="00F7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A752CB-F973-42DC-BE81-0FCC461CA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u-H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pPr>
      <w:suppressAutoHyphens/>
      <w:spacing w:after="120"/>
      <w:jc w:val="both"/>
    </w:pPr>
    <w:rPr>
      <w:rFonts w:ascii="Times New Roman" w:hAnsi="Times New Roman"/>
    </w:rPr>
  </w:style>
  <w:style w:type="paragraph" w:styleId="Cmsor2">
    <w:name w:val="heading 2"/>
    <w:basedOn w:val="Norml"/>
    <w:next w:val="Norml"/>
    <w:autoRedefine/>
    <w:pPr>
      <w:keepNext/>
      <w:numPr>
        <w:ilvl w:val="1"/>
        <w:numId w:val="1"/>
      </w:numPr>
      <w:spacing w:before="360" w:after="240"/>
      <w:outlineLvl w:val="1"/>
    </w:pPr>
    <w:rPr>
      <w:rFonts w:eastAsia="Times New Roman"/>
      <w:b/>
      <w:bCs/>
      <w:iCs/>
      <w:sz w:val="24"/>
      <w:szCs w:val="28"/>
    </w:rPr>
  </w:style>
  <w:style w:type="paragraph" w:styleId="Cmsor3">
    <w:name w:val="heading 3"/>
    <w:basedOn w:val="Norml"/>
    <w:next w:val="Norml"/>
    <w:autoRedefine/>
    <w:pPr>
      <w:keepNext/>
      <w:keepLines/>
      <w:spacing w:before="240"/>
      <w:ind w:left="720" w:hanging="720"/>
      <w:outlineLvl w:val="2"/>
    </w:pPr>
    <w:rPr>
      <w:rFonts w:eastAsia="Times New Roman"/>
      <w:b/>
      <w:bCs/>
      <w:color w:val="1D3C57"/>
    </w:rPr>
  </w:style>
  <w:style w:type="paragraph" w:styleId="Cmsor4">
    <w:name w:val="heading 4"/>
    <w:basedOn w:val="Norml"/>
    <w:next w:val="Norml"/>
    <w:uiPriority w:val="9"/>
    <w:unhideWhenUsed/>
    <w:qFormat/>
    <w:rsid w:val="009052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numbering" w:customStyle="1" w:styleId="WWOutlineListStyle">
    <w:name w:val="WW_OutlineListStyle"/>
    <w:basedOn w:val="Nemlista"/>
  </w:style>
  <w:style w:type="character" w:customStyle="1" w:styleId="Cmsor2Char">
    <w:name w:val="Címsor 2 Char"/>
    <w:basedOn w:val="Bekezdsalapbettpusa"/>
    <w:rPr>
      <w:rFonts w:ascii="Times New Roman" w:eastAsia="Times New Roman" w:hAnsi="Times New Roman" w:cs="Times New Roman"/>
      <w:b/>
      <w:bCs/>
      <w:iCs/>
      <w:sz w:val="24"/>
      <w:szCs w:val="28"/>
    </w:rPr>
  </w:style>
  <w:style w:type="character" w:customStyle="1" w:styleId="Cmsor3Char">
    <w:name w:val="Címsor 3 Char"/>
    <w:basedOn w:val="Bekezdsalapbettpusa"/>
    <w:rPr>
      <w:rFonts w:ascii="Times New Roman" w:eastAsia="Times New Roman" w:hAnsi="Times New Roman" w:cs="Times New Roman"/>
      <w:b/>
      <w:bCs/>
      <w:color w:val="1D3C57"/>
    </w:rPr>
  </w:style>
  <w:style w:type="paragraph" w:styleId="lfej">
    <w:name w:val="header"/>
    <w:basedOn w:val="Norm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rPr>
      <w:rFonts w:ascii="Times New Roman" w:hAnsi="Times New Roman"/>
    </w:rPr>
  </w:style>
  <w:style w:type="paragraph" w:styleId="llb">
    <w:name w:val="footer"/>
    <w:basedOn w:val="Norm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rPr>
      <w:rFonts w:ascii="Times New Roman" w:hAnsi="Times New Roman"/>
    </w:rPr>
  </w:style>
  <w:style w:type="paragraph" w:styleId="Lbjegyzetszveg">
    <w:name w:val="footnote text"/>
    <w:basedOn w:val="Norml"/>
    <w:link w:val="LbjegyzetszvegChar"/>
    <w:semiHidden/>
    <w:unhideWhenUsed/>
    <w:rsid w:val="00D230F3"/>
    <w:pPr>
      <w:suppressAutoHyphens w:val="0"/>
      <w:autoSpaceDN/>
      <w:spacing w:after="0" w:line="240" w:lineRule="auto"/>
      <w:jc w:val="left"/>
      <w:textAlignment w:val="auto"/>
    </w:pPr>
    <w:rPr>
      <w:rFonts w:eastAsia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D230F3"/>
    <w:rPr>
      <w:rFonts w:ascii="Times New Roman" w:eastAsia="Times New Roman" w:hAnsi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4A5B83"/>
    <w:pPr>
      <w:ind w:left="720"/>
      <w:contextualSpacing/>
    </w:pPr>
  </w:style>
  <w:style w:type="paragraph" w:customStyle="1" w:styleId="bek1">
    <w:name w:val="bek1"/>
    <w:basedOn w:val="Norml"/>
    <w:rsid w:val="004A5B83"/>
    <w:pPr>
      <w:tabs>
        <w:tab w:val="left" w:pos="5670"/>
      </w:tabs>
      <w:suppressAutoHyphens w:val="0"/>
      <w:autoSpaceDN/>
      <w:spacing w:after="0" w:line="360" w:lineRule="atLeast"/>
      <w:textAlignment w:val="auto"/>
    </w:pPr>
    <w:rPr>
      <w:rFonts w:eastAsia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0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7A2A137-79B9-4E96-8FCA-7D378A871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3013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</dc:creator>
  <cp:lastModifiedBy>angyal zoli</cp:lastModifiedBy>
  <cp:revision>3</cp:revision>
  <dcterms:created xsi:type="dcterms:W3CDTF">2019-02-05T10:44:00Z</dcterms:created>
  <dcterms:modified xsi:type="dcterms:W3CDTF">2019-02-05T10:52:00Z</dcterms:modified>
</cp:coreProperties>
</file>