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7118B" w14:textId="77777777"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14:paraId="41723185" w14:textId="77777777" w:rsidR="006E70F8" w:rsidRDefault="006E70F8" w:rsidP="009E5466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Jogász osztatlan képzés </w:t>
      </w:r>
    </w:p>
    <w:p w14:paraId="54E294A1" w14:textId="77777777" w:rsidR="006E70F8" w:rsidRPr="006E70F8" w:rsidRDefault="006E70F8" w:rsidP="009E5466">
      <w:pPr>
        <w:spacing w:before="120"/>
        <w:jc w:val="center"/>
        <w:rPr>
          <w:sz w:val="24"/>
        </w:rPr>
      </w:pPr>
      <w:proofErr w:type="gramStart"/>
      <w:r w:rsidRPr="006E70F8">
        <w:rPr>
          <w:sz w:val="24"/>
        </w:rPr>
        <w:t>nappali-levelező</w:t>
      </w:r>
      <w:proofErr w:type="gramEnd"/>
      <w:r w:rsidRPr="006E70F8">
        <w:rPr>
          <w:sz w:val="24"/>
        </w:rPr>
        <w:t xml:space="preserve"> tagozat</w:t>
      </w:r>
    </w:p>
    <w:p w14:paraId="136CD21D" w14:textId="3CFBCB97" w:rsidR="006E70F8" w:rsidRDefault="006E70F8" w:rsidP="009E5466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Polgári jogi gyakorlat 1.</w:t>
      </w:r>
    </w:p>
    <w:p w14:paraId="50C54C0B" w14:textId="77777777" w:rsidR="006E70F8" w:rsidRDefault="006E70F8" w:rsidP="006E70F8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2018/19/1. félév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 w14:paraId="333A3ACC" w14:textId="77777777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0290" w14:textId="77777777"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14:paraId="5141394F" w14:textId="37E4E724" w:rsidR="0010535D" w:rsidRDefault="00C670CE">
            <w:pPr>
              <w:spacing w:after="0" w:line="240" w:lineRule="auto"/>
            </w:pPr>
            <w:r>
              <w:t>Polgári jogi</w:t>
            </w:r>
            <w:r w:rsidR="00882464">
              <w:t xml:space="preserve"> gyakorlat</w:t>
            </w:r>
            <w:r>
              <w:t xml:space="preserve"> 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D97" w14:textId="77777777" w:rsidR="00517E06" w:rsidRDefault="0077591B" w:rsidP="00577982">
            <w:pPr>
              <w:spacing w:after="0" w:line="240" w:lineRule="auto"/>
              <w:rPr>
                <w:b/>
                <w:color w:val="000000" w:themeColor="text1"/>
              </w:rPr>
            </w:pPr>
            <w:r w:rsidRPr="00C93B2C">
              <w:rPr>
                <w:b/>
                <w:color w:val="000000" w:themeColor="text1"/>
              </w:rPr>
              <w:t>Tantárgy Neptun kódja:</w:t>
            </w:r>
          </w:p>
          <w:p w14:paraId="052285A1" w14:textId="7D230722" w:rsidR="00577982" w:rsidRDefault="007314AE" w:rsidP="0057798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AJPJT270</w:t>
            </w:r>
            <w:r w:rsidR="00185CBE" w:rsidRPr="00185CBE">
              <w:rPr>
                <w:color w:val="000000" w:themeColor="text1"/>
              </w:rPr>
              <w:t xml:space="preserve">N3 </w:t>
            </w:r>
            <w:r w:rsidR="00517E06">
              <w:rPr>
                <w:color w:val="000000" w:themeColor="text1"/>
              </w:rPr>
              <w:t>(nappali)</w:t>
            </w:r>
          </w:p>
          <w:p w14:paraId="73670E5C" w14:textId="4EBBE380" w:rsidR="00517E06" w:rsidRDefault="007314AE" w:rsidP="0057798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AJPJT270</w:t>
            </w:r>
            <w:r w:rsidR="00185CBE">
              <w:rPr>
                <w:color w:val="000000" w:themeColor="text1"/>
              </w:rPr>
              <w:t>L3</w:t>
            </w:r>
            <w:r w:rsidR="00517E06">
              <w:rPr>
                <w:color w:val="000000" w:themeColor="text1"/>
              </w:rPr>
              <w:t xml:space="preserve"> (levelező)</w:t>
            </w:r>
          </w:p>
          <w:p w14:paraId="19B79776" w14:textId="6326DB25" w:rsidR="0010535D" w:rsidRPr="00C93B2C" w:rsidRDefault="0077591B" w:rsidP="00577982">
            <w:pPr>
              <w:spacing w:after="0" w:line="240" w:lineRule="auto"/>
              <w:rPr>
                <w:color w:val="000000" w:themeColor="text1"/>
              </w:rPr>
            </w:pPr>
            <w:r w:rsidRPr="00C93B2C">
              <w:rPr>
                <w:b/>
                <w:color w:val="000000" w:themeColor="text1"/>
              </w:rPr>
              <w:t>Tárgyfelelős intézet:</w:t>
            </w:r>
            <w:r w:rsidRPr="00C93B2C">
              <w:rPr>
                <w:color w:val="000000" w:themeColor="text1"/>
              </w:rPr>
              <w:t xml:space="preserve"> </w:t>
            </w:r>
            <w:proofErr w:type="spellStart"/>
            <w:r w:rsidR="0077560D">
              <w:rPr>
                <w:color w:val="000000" w:themeColor="text1"/>
              </w:rPr>
              <w:t>Civilisztikai</w:t>
            </w:r>
            <w:proofErr w:type="spellEnd"/>
            <w:r w:rsidR="0077560D">
              <w:rPr>
                <w:color w:val="000000" w:themeColor="text1"/>
              </w:rPr>
              <w:t xml:space="preserve"> Tudományok Intézete Polgári Jogi Tanszék</w:t>
            </w:r>
          </w:p>
        </w:tc>
      </w:tr>
      <w:tr w:rsidR="0010535D" w14:paraId="15A2876E" w14:textId="77777777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6F09" w14:textId="77777777" w:rsidR="0010535D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9EAF" w14:textId="2DEAD380" w:rsidR="0010535D" w:rsidRDefault="0077591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="00CD0200">
              <w:t>kötelező</w:t>
            </w:r>
          </w:p>
        </w:tc>
      </w:tr>
      <w:tr w:rsidR="0010535D" w14:paraId="7B8E7CA7" w14:textId="7777777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3100" w14:textId="0797185D" w:rsidR="0010535D" w:rsidRDefault="0077591B">
            <w:pPr>
              <w:spacing w:after="0" w:line="240" w:lineRule="auto"/>
            </w:pPr>
            <w:r>
              <w:rPr>
                <w:b/>
              </w:rPr>
              <w:t>Tárgyfelelős:</w:t>
            </w:r>
            <w:r w:rsidR="00CD0200">
              <w:t xml:space="preserve"> </w:t>
            </w:r>
            <w:r w:rsidR="00185CBE">
              <w:t xml:space="preserve">Dr. </w:t>
            </w:r>
            <w:proofErr w:type="spellStart"/>
            <w:r w:rsidR="00185CBE">
              <w:t>Heinerné</w:t>
            </w:r>
            <w:proofErr w:type="spellEnd"/>
            <w:r w:rsidR="00185CBE">
              <w:t xml:space="preserve"> Dr. Barzó Tímea</w:t>
            </w:r>
            <w:r w:rsidR="003A48FD">
              <w:t xml:space="preserve"> tanszékvezető egyetemi docens</w:t>
            </w:r>
          </w:p>
        </w:tc>
      </w:tr>
      <w:tr w:rsidR="0010535D" w14:paraId="52906650" w14:textId="7777777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E580" w14:textId="77777777" w:rsidR="003A48FD" w:rsidRDefault="0077591B" w:rsidP="003A48FD">
            <w:pPr>
              <w:spacing w:after="0" w:line="240" w:lineRule="auto"/>
              <w:rPr>
                <w:color w:val="000000" w:themeColor="text1"/>
              </w:rPr>
            </w:pPr>
            <w:r w:rsidRPr="0077560D">
              <w:rPr>
                <w:b/>
                <w:color w:val="000000" w:themeColor="text1"/>
              </w:rPr>
              <w:t>Közreműködő oktató(k):</w:t>
            </w:r>
          </w:p>
          <w:p w14:paraId="19CCE9A7" w14:textId="52F747A8" w:rsidR="003A48FD" w:rsidRDefault="003A48FD" w:rsidP="003A48F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Leszkoven László egyetemi docens</w:t>
            </w:r>
          </w:p>
          <w:p w14:paraId="652C6523" w14:textId="77777777" w:rsidR="003A48FD" w:rsidRDefault="003A48FD" w:rsidP="003A48F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Gondosné</w:t>
            </w:r>
            <w:proofErr w:type="spellEnd"/>
            <w:r>
              <w:rPr>
                <w:color w:val="000000" w:themeColor="text1"/>
              </w:rPr>
              <w:t xml:space="preserve"> Dr. Pusztahelyi Réka egyetemi adjunktus</w:t>
            </w:r>
          </w:p>
          <w:p w14:paraId="7330D5C4" w14:textId="77777777" w:rsidR="003A48FD" w:rsidRDefault="003A48FD" w:rsidP="003A48F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Juhász Ágnes egyetemi adjunktus</w:t>
            </w:r>
          </w:p>
          <w:p w14:paraId="3385A92E" w14:textId="77777777" w:rsidR="003A48FD" w:rsidRDefault="003A48FD" w:rsidP="003A48F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Tóth Gergő József tudományos segédmunkatárs</w:t>
            </w:r>
          </w:p>
          <w:p w14:paraId="29B80F9F" w14:textId="77777777" w:rsidR="003A48FD" w:rsidRDefault="003A48FD" w:rsidP="003A48F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Udvarhelyiné dr. Sápi Edit tudományos segédmunkatárs</w:t>
            </w:r>
          </w:p>
          <w:p w14:paraId="24510097" w14:textId="153C0C4C" w:rsidR="0010535D" w:rsidRPr="0077560D" w:rsidRDefault="003A48FD" w:rsidP="003A48F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Kriston Edit tudományos segédmunkatárs</w:t>
            </w:r>
          </w:p>
        </w:tc>
      </w:tr>
      <w:tr w:rsidR="0010535D" w14:paraId="4A7B79ED" w14:textId="77777777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F384" w14:textId="70E6A893"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185CBE">
              <w:t>3</w:t>
            </w:r>
            <w:r w:rsidR="00CD0200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3B95" w14:textId="77777777" w:rsidR="003A48FD" w:rsidRDefault="0077591B" w:rsidP="003A48FD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882464">
              <w:t>Polgári Jog I.</w:t>
            </w:r>
          </w:p>
          <w:p w14:paraId="2DD7CA5F" w14:textId="076624A3" w:rsidR="0010535D" w:rsidRDefault="003A48FD" w:rsidP="003A48FD">
            <w:pPr>
              <w:spacing w:after="0" w:line="240" w:lineRule="auto"/>
            </w:pPr>
            <w:r>
              <w:t>(</w:t>
            </w:r>
            <w:r w:rsidRPr="0024191B">
              <w:rPr>
                <w:color w:val="000000" w:themeColor="text1"/>
              </w:rPr>
              <w:t>AJPJT279N3</w:t>
            </w:r>
            <w:r>
              <w:rPr>
                <w:color w:val="000000" w:themeColor="text1"/>
              </w:rPr>
              <w:t>, AJPJT279L</w:t>
            </w:r>
            <w:r w:rsidRPr="0024191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)</w:t>
            </w:r>
          </w:p>
        </w:tc>
      </w:tr>
      <w:tr w:rsidR="0010535D" w14:paraId="700D79C3" w14:textId="77777777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1C18" w14:textId="77777777" w:rsidR="00517E06" w:rsidRDefault="00C71356">
            <w:pPr>
              <w:spacing w:after="0" w:line="240" w:lineRule="auto"/>
            </w:pPr>
            <w:r>
              <w:rPr>
                <w:b/>
              </w:rPr>
              <w:t>Óraszám</w:t>
            </w:r>
            <w:r w:rsidR="0077591B">
              <w:rPr>
                <w:b/>
              </w:rPr>
              <w:t>:</w:t>
            </w:r>
          </w:p>
          <w:p w14:paraId="7C6DBF3C" w14:textId="77777777" w:rsidR="0010535D" w:rsidRDefault="00517E06">
            <w:pPr>
              <w:spacing w:after="0" w:line="240" w:lineRule="auto"/>
            </w:pPr>
            <w:r>
              <w:t xml:space="preserve">nappali: </w:t>
            </w:r>
            <w:r w:rsidR="00753EFC">
              <w:t>2</w:t>
            </w:r>
            <w:r w:rsidR="00E4045E">
              <w:t xml:space="preserve"> </w:t>
            </w:r>
            <w:r w:rsidR="00CE2397">
              <w:t xml:space="preserve">óra / </w:t>
            </w:r>
            <w:r w:rsidR="00753EFC">
              <w:t>hét</w:t>
            </w:r>
          </w:p>
          <w:p w14:paraId="7E0143A6" w14:textId="29FA7CCB" w:rsidR="00517E06" w:rsidRDefault="005514B9">
            <w:pPr>
              <w:spacing w:after="0" w:line="240" w:lineRule="auto"/>
            </w:pPr>
            <w:r>
              <w:t>levelező: 2</w:t>
            </w:r>
            <w:r w:rsidR="00517E06">
              <w:t xml:space="preserve">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2D3F" w14:textId="6614D857"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CF61FC">
              <w:t>gyakorlati jegy</w:t>
            </w:r>
          </w:p>
        </w:tc>
      </w:tr>
      <w:tr w:rsidR="0010535D" w14:paraId="21BF0C6D" w14:textId="77777777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30AA" w14:textId="6D71B6B3" w:rsidR="0010535D" w:rsidRDefault="0077591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873FB2"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C94A" w14:textId="5AB59467" w:rsidR="0010535D" w:rsidRDefault="007D32F7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CD0200">
              <w:t xml:space="preserve"> </w:t>
            </w:r>
            <w:r w:rsidR="0077560D">
              <w:t>nappali</w:t>
            </w:r>
            <w:r w:rsidR="00517E06">
              <w:t>/levelező</w:t>
            </w:r>
          </w:p>
        </w:tc>
      </w:tr>
      <w:tr w:rsidR="0010535D" w14:paraId="37D10A6B" w14:textId="7777777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84D8" w14:textId="77777777"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14:paraId="6AF9A678" w14:textId="77777777" w:rsidR="005514B9" w:rsidRDefault="005514B9" w:rsidP="005514B9">
            <w:pPr>
              <w:spacing w:after="0" w:line="240" w:lineRule="auto"/>
            </w:pPr>
            <w:r>
              <w:t>Az előadásokat párhuzamosan kísérő polgári jogi gyakorlat célja, hogy az elméleti ismeretek megszerzésével egyidejűleg betekintést nyújtson a jog gyakorlati működésébe. A kis létszámú csoportos foglalkozás lehetőséget teremt arra, hogy a hallgatók aktívan részt vegyenek a gyakorlati feladatok, jogesetek közös megoldásában.</w:t>
            </w:r>
          </w:p>
          <w:p w14:paraId="7704917F" w14:textId="62204B78" w:rsidR="00185CBE" w:rsidRDefault="005514B9" w:rsidP="005514B9">
            <w:pPr>
              <w:spacing w:after="0" w:line="240" w:lineRule="auto"/>
            </w:pPr>
            <w:r>
              <w:t>Az első szemeszterben a hallgatók megismerkednek a polgári jogi dogmatika alapjaival az általános tanok keretében, továbbá e félév feladatát képezi a személyek joga, benne a jogképesség, a cselekvőképesség, a jogi személyek és a személyiségvédelem tárgyrészek, valamint a szerzői jogot és az iparjogvédelem joganyagát átfogó szellemi alkotások témakör feldolgozása. A Polgári jogi gyakorlat 1. tantárgy a jogászképzés 3. félévében, heti 2 órában kerül megtartásra. A számonkérés módja gyakorlati jegy, a tantárgyi követelmények teljesítése 1 kreditet eredményez.</w:t>
            </w:r>
          </w:p>
          <w:p w14:paraId="0BFC3781" w14:textId="77777777" w:rsidR="005514B9" w:rsidRDefault="005514B9" w:rsidP="005514B9">
            <w:pPr>
              <w:spacing w:after="0" w:line="240" w:lineRule="auto"/>
            </w:pPr>
          </w:p>
          <w:p w14:paraId="4CAFE2F2" w14:textId="342DE6E4" w:rsidR="0010535D" w:rsidRPr="00552066" w:rsidRDefault="0077591B" w:rsidP="004F6810">
            <w:pPr>
              <w:spacing w:after="0" w:line="240" w:lineRule="auto"/>
              <w:rPr>
                <w:b/>
                <w:color w:val="000000" w:themeColor="text1"/>
              </w:rPr>
            </w:pPr>
            <w:r w:rsidRPr="00552066">
              <w:rPr>
                <w:b/>
                <w:color w:val="000000" w:themeColor="text1"/>
              </w:rPr>
              <w:t>Fejlesztendő kompetenciák:</w:t>
            </w:r>
          </w:p>
          <w:p w14:paraId="12A22CAB" w14:textId="2E22B9E6" w:rsidR="0010535D" w:rsidRPr="00552066" w:rsidRDefault="0077591B">
            <w:pPr>
              <w:spacing w:after="0" w:line="240" w:lineRule="auto"/>
              <w:rPr>
                <w:color w:val="000000" w:themeColor="text1"/>
              </w:rPr>
            </w:pPr>
            <w:r w:rsidRPr="00552066">
              <w:rPr>
                <w:b/>
                <w:i/>
                <w:color w:val="000000" w:themeColor="text1"/>
              </w:rPr>
              <w:t>tudás:</w:t>
            </w:r>
            <w:r w:rsidRPr="00552066">
              <w:rPr>
                <w:color w:val="000000" w:themeColor="text1"/>
              </w:rPr>
              <w:t xml:space="preserve"> </w:t>
            </w:r>
            <w:r w:rsidR="003273BB">
              <w:rPr>
                <w:color w:val="000000" w:themeColor="text1"/>
              </w:rPr>
              <w:t>T2, T3, T5, T6, T11, T12, T13, T15</w:t>
            </w:r>
          </w:p>
          <w:p w14:paraId="72984BEC" w14:textId="3BFCE2CC" w:rsidR="0010535D" w:rsidRPr="00552066" w:rsidRDefault="0077591B">
            <w:pPr>
              <w:spacing w:after="0" w:line="240" w:lineRule="auto"/>
              <w:rPr>
                <w:color w:val="000000" w:themeColor="text1"/>
              </w:rPr>
            </w:pPr>
            <w:r w:rsidRPr="00552066">
              <w:rPr>
                <w:b/>
                <w:i/>
                <w:color w:val="000000" w:themeColor="text1"/>
              </w:rPr>
              <w:t>képesség:</w:t>
            </w:r>
            <w:r w:rsidRPr="00552066">
              <w:rPr>
                <w:color w:val="000000" w:themeColor="text1"/>
              </w:rPr>
              <w:t xml:space="preserve"> </w:t>
            </w:r>
            <w:r w:rsidR="003273BB">
              <w:rPr>
                <w:color w:val="000000" w:themeColor="text1"/>
              </w:rPr>
              <w:t>K2, K4, K5, K7, K8, K10, K15, K19, K20, K23, K24, K25, K28, K30, K31</w:t>
            </w:r>
          </w:p>
          <w:p w14:paraId="57A59897" w14:textId="01223DD9" w:rsidR="0010535D" w:rsidRPr="003273BB" w:rsidRDefault="0077591B">
            <w:pPr>
              <w:spacing w:after="0" w:line="240" w:lineRule="auto"/>
              <w:rPr>
                <w:color w:val="000000" w:themeColor="text1"/>
              </w:rPr>
            </w:pPr>
            <w:r w:rsidRPr="00552066">
              <w:rPr>
                <w:b/>
                <w:i/>
                <w:color w:val="000000" w:themeColor="text1"/>
              </w:rPr>
              <w:t>attitűd:</w:t>
            </w:r>
            <w:r w:rsidR="003273BB" w:rsidRPr="003273BB">
              <w:rPr>
                <w:color w:val="000000" w:themeColor="text1"/>
              </w:rPr>
              <w:t xml:space="preserve"> A2</w:t>
            </w:r>
            <w:r w:rsidR="003273BB" w:rsidRPr="00781BFB">
              <w:rPr>
                <w:color w:val="000000" w:themeColor="text1"/>
              </w:rPr>
              <w:t>,</w:t>
            </w:r>
            <w:r w:rsidR="003273BB">
              <w:rPr>
                <w:b/>
                <w:i/>
                <w:color w:val="000000" w:themeColor="text1"/>
              </w:rPr>
              <w:t xml:space="preserve"> </w:t>
            </w:r>
            <w:r w:rsidR="00781BFB">
              <w:rPr>
                <w:color w:val="000000" w:themeColor="text1"/>
              </w:rPr>
              <w:t>A</w:t>
            </w:r>
            <w:r w:rsidR="003273BB" w:rsidRPr="003273BB">
              <w:rPr>
                <w:color w:val="000000" w:themeColor="text1"/>
              </w:rPr>
              <w:t>3</w:t>
            </w:r>
            <w:r w:rsidR="00781BFB">
              <w:rPr>
                <w:color w:val="000000" w:themeColor="text1"/>
              </w:rPr>
              <w:t>,</w:t>
            </w:r>
            <w:r w:rsidR="003273BB" w:rsidRPr="003273BB">
              <w:rPr>
                <w:color w:val="000000" w:themeColor="text1"/>
              </w:rPr>
              <w:t xml:space="preserve"> </w:t>
            </w:r>
            <w:r w:rsidR="00781BFB">
              <w:rPr>
                <w:color w:val="000000" w:themeColor="text1"/>
              </w:rPr>
              <w:t>A</w:t>
            </w:r>
            <w:r w:rsidR="003273BB" w:rsidRPr="003273BB">
              <w:rPr>
                <w:color w:val="000000" w:themeColor="text1"/>
              </w:rPr>
              <w:t>5</w:t>
            </w:r>
            <w:r w:rsidR="00781BFB">
              <w:rPr>
                <w:color w:val="000000" w:themeColor="text1"/>
              </w:rPr>
              <w:t>,</w:t>
            </w:r>
            <w:r w:rsidR="003273BB" w:rsidRPr="003273BB">
              <w:rPr>
                <w:color w:val="000000" w:themeColor="text1"/>
              </w:rPr>
              <w:t xml:space="preserve"> </w:t>
            </w:r>
            <w:r w:rsidR="00781BFB">
              <w:rPr>
                <w:color w:val="000000" w:themeColor="text1"/>
              </w:rPr>
              <w:t>A</w:t>
            </w:r>
            <w:r w:rsidR="003273BB" w:rsidRPr="003273BB">
              <w:rPr>
                <w:color w:val="000000" w:themeColor="text1"/>
              </w:rPr>
              <w:t>7</w:t>
            </w:r>
            <w:r w:rsidR="00781BFB">
              <w:rPr>
                <w:color w:val="000000" w:themeColor="text1"/>
              </w:rPr>
              <w:t>,</w:t>
            </w:r>
            <w:r w:rsidR="003273BB" w:rsidRPr="003273BB">
              <w:rPr>
                <w:color w:val="000000" w:themeColor="text1"/>
              </w:rPr>
              <w:t xml:space="preserve"> </w:t>
            </w:r>
            <w:r w:rsidR="00781BFB">
              <w:rPr>
                <w:color w:val="000000" w:themeColor="text1"/>
              </w:rPr>
              <w:t>A</w:t>
            </w:r>
            <w:r w:rsidR="003273BB" w:rsidRPr="003273BB">
              <w:rPr>
                <w:color w:val="000000" w:themeColor="text1"/>
              </w:rPr>
              <w:t>13</w:t>
            </w:r>
            <w:r w:rsidR="00781BFB">
              <w:rPr>
                <w:color w:val="000000" w:themeColor="text1"/>
              </w:rPr>
              <w:t>,</w:t>
            </w:r>
            <w:r w:rsidR="003273BB" w:rsidRPr="003273BB">
              <w:rPr>
                <w:color w:val="000000" w:themeColor="text1"/>
              </w:rPr>
              <w:t xml:space="preserve"> </w:t>
            </w:r>
            <w:r w:rsidR="00781BFB">
              <w:rPr>
                <w:color w:val="000000" w:themeColor="text1"/>
              </w:rPr>
              <w:t>A</w:t>
            </w:r>
            <w:r w:rsidR="003273BB" w:rsidRPr="003273BB">
              <w:rPr>
                <w:color w:val="000000" w:themeColor="text1"/>
              </w:rPr>
              <w:t>15</w:t>
            </w:r>
            <w:r w:rsidR="00781BFB">
              <w:rPr>
                <w:color w:val="000000" w:themeColor="text1"/>
              </w:rPr>
              <w:t>,</w:t>
            </w:r>
            <w:r w:rsidR="003273BB" w:rsidRPr="003273BB">
              <w:rPr>
                <w:color w:val="000000" w:themeColor="text1"/>
              </w:rPr>
              <w:t xml:space="preserve"> </w:t>
            </w:r>
            <w:r w:rsidR="00781BFB">
              <w:rPr>
                <w:color w:val="000000" w:themeColor="text1"/>
              </w:rPr>
              <w:t>A</w:t>
            </w:r>
            <w:r w:rsidR="003273BB" w:rsidRPr="003273BB">
              <w:rPr>
                <w:color w:val="000000" w:themeColor="text1"/>
              </w:rPr>
              <w:t>17</w:t>
            </w:r>
            <w:r w:rsidR="00781BFB">
              <w:rPr>
                <w:color w:val="000000" w:themeColor="text1"/>
              </w:rPr>
              <w:t>,</w:t>
            </w:r>
            <w:r w:rsidR="003273BB" w:rsidRPr="003273BB">
              <w:rPr>
                <w:color w:val="000000" w:themeColor="text1"/>
              </w:rPr>
              <w:t xml:space="preserve"> </w:t>
            </w:r>
            <w:r w:rsidR="00781BFB">
              <w:rPr>
                <w:color w:val="000000" w:themeColor="text1"/>
              </w:rPr>
              <w:t>A</w:t>
            </w:r>
            <w:r w:rsidR="003273BB" w:rsidRPr="003273BB">
              <w:rPr>
                <w:color w:val="000000" w:themeColor="text1"/>
              </w:rPr>
              <w:t>18</w:t>
            </w:r>
            <w:r w:rsidR="00781BFB">
              <w:rPr>
                <w:color w:val="000000" w:themeColor="text1"/>
              </w:rPr>
              <w:t>,</w:t>
            </w:r>
            <w:r w:rsidR="003273BB" w:rsidRPr="003273BB">
              <w:rPr>
                <w:color w:val="000000" w:themeColor="text1"/>
              </w:rPr>
              <w:t xml:space="preserve"> </w:t>
            </w:r>
            <w:r w:rsidR="00781BFB">
              <w:rPr>
                <w:color w:val="000000" w:themeColor="text1"/>
              </w:rPr>
              <w:t>A</w:t>
            </w:r>
            <w:r w:rsidR="003273BB" w:rsidRPr="003273BB">
              <w:rPr>
                <w:color w:val="000000" w:themeColor="text1"/>
              </w:rPr>
              <w:t>20</w:t>
            </w:r>
          </w:p>
          <w:p w14:paraId="06DBBC70" w14:textId="4F68C206" w:rsidR="0010535D" w:rsidRPr="00552066" w:rsidRDefault="0077591B">
            <w:pPr>
              <w:spacing w:after="0" w:line="240" w:lineRule="auto"/>
              <w:rPr>
                <w:color w:val="000000" w:themeColor="text1"/>
              </w:rPr>
            </w:pPr>
            <w:r w:rsidRPr="00552066">
              <w:rPr>
                <w:b/>
                <w:i/>
                <w:color w:val="000000" w:themeColor="text1"/>
              </w:rPr>
              <w:t>autonómia</w:t>
            </w:r>
            <w:r w:rsidR="00AA1BDC" w:rsidRPr="00552066">
              <w:rPr>
                <w:b/>
                <w:i/>
                <w:color w:val="000000" w:themeColor="text1"/>
              </w:rPr>
              <w:t xml:space="preserve"> és felelősség</w:t>
            </w:r>
            <w:r w:rsidRPr="00552066">
              <w:rPr>
                <w:b/>
                <w:i/>
                <w:color w:val="000000" w:themeColor="text1"/>
              </w:rPr>
              <w:t>:</w:t>
            </w:r>
            <w:r w:rsidRPr="00552066">
              <w:rPr>
                <w:color w:val="000000" w:themeColor="text1"/>
              </w:rPr>
              <w:t xml:space="preserve"> </w:t>
            </w:r>
            <w:r w:rsidR="00781BFB">
              <w:rPr>
                <w:color w:val="000000" w:themeColor="text1"/>
              </w:rPr>
              <w:t>F3, F4, F5</w:t>
            </w:r>
          </w:p>
          <w:p w14:paraId="36D8D786" w14:textId="4CC61B73" w:rsidR="0010535D" w:rsidRDefault="0010535D">
            <w:pPr>
              <w:spacing w:after="0" w:line="240" w:lineRule="auto"/>
            </w:pPr>
          </w:p>
        </w:tc>
      </w:tr>
      <w:tr w:rsidR="0010535D" w14:paraId="5B842DFC" w14:textId="7777777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89E2" w14:textId="77777777"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14:paraId="6BFA3C67" w14:textId="77777777" w:rsidR="006E70F8" w:rsidRDefault="006E70F8">
            <w:pPr>
              <w:spacing w:after="0" w:line="240" w:lineRule="auto"/>
              <w:rPr>
                <w:b/>
              </w:rPr>
            </w:pPr>
          </w:p>
          <w:p w14:paraId="26504791" w14:textId="346A34B5" w:rsidR="006E70F8" w:rsidRDefault="006E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nappali tagozat: </w:t>
            </w:r>
          </w:p>
          <w:p w14:paraId="6974C564" w14:textId="37B5FE39" w:rsidR="006E70F8" w:rsidRPr="006E70F8" w:rsidRDefault="006E70F8">
            <w:pPr>
              <w:spacing w:after="0" w:line="240" w:lineRule="auto"/>
            </w:pPr>
            <w:r w:rsidRPr="006E70F8">
              <w:t xml:space="preserve">201. – hétfő 16-18-ig – </w:t>
            </w:r>
            <w:proofErr w:type="gramStart"/>
            <w:r w:rsidRPr="006E70F8">
              <w:t>A</w:t>
            </w:r>
            <w:proofErr w:type="gramEnd"/>
            <w:r w:rsidRPr="006E70F8">
              <w:t>/</w:t>
            </w:r>
            <w:r>
              <w:t xml:space="preserve">6. </w:t>
            </w:r>
            <w:r w:rsidRPr="006E70F8">
              <w:t>117/A. – Dr. Tóth Gergő József tudományos segédmunkatárs</w:t>
            </w:r>
          </w:p>
          <w:p w14:paraId="554A04C7" w14:textId="1276D1A8" w:rsidR="006E70F8" w:rsidRDefault="006E70F8">
            <w:pPr>
              <w:spacing w:after="0" w:line="240" w:lineRule="auto"/>
            </w:pPr>
            <w:r>
              <w:t xml:space="preserve">202. – </w:t>
            </w:r>
            <w:r w:rsidR="00B20247">
              <w:t>kedd 8-10</w:t>
            </w:r>
            <w:r>
              <w:t xml:space="preserve">-ig – </w:t>
            </w:r>
            <w:proofErr w:type="gramStart"/>
            <w:r>
              <w:t>A</w:t>
            </w:r>
            <w:proofErr w:type="gramEnd"/>
            <w:r>
              <w:t>/</w:t>
            </w:r>
            <w:r w:rsidR="00B20247">
              <w:t>1</w:t>
            </w:r>
            <w:r>
              <w:t>. 11</w:t>
            </w:r>
            <w:r w:rsidR="00B20247">
              <w:t>.</w:t>
            </w:r>
            <w:r>
              <w:t xml:space="preserve"> – Dr. Pusztahelyi Réka adjunktus</w:t>
            </w:r>
          </w:p>
          <w:p w14:paraId="4D434963" w14:textId="0BA58C6C" w:rsidR="006E70F8" w:rsidRDefault="006E70F8">
            <w:pPr>
              <w:spacing w:after="0" w:line="240" w:lineRule="auto"/>
            </w:pPr>
            <w:r>
              <w:t>203. – csütörtök 1</w:t>
            </w:r>
            <w:r w:rsidR="006812B3">
              <w:t xml:space="preserve">0-12-ig – </w:t>
            </w:r>
            <w:proofErr w:type="gramStart"/>
            <w:r w:rsidR="006812B3">
              <w:t>A</w:t>
            </w:r>
            <w:proofErr w:type="gramEnd"/>
            <w:r w:rsidR="006812B3">
              <w:t>/6. 203. – Dr. Sá</w:t>
            </w:r>
            <w:r w:rsidR="006B6ACA">
              <w:t>p</w:t>
            </w:r>
            <w:bookmarkStart w:id="0" w:name="_GoBack"/>
            <w:bookmarkEnd w:id="0"/>
            <w:r w:rsidR="006812B3">
              <w:t>i Edit tudományos segédmunkatárs</w:t>
            </w:r>
          </w:p>
          <w:p w14:paraId="400DD7F2" w14:textId="1AABE276" w:rsidR="006E70F8" w:rsidRPr="006E70F8" w:rsidRDefault="006E70F8">
            <w:pPr>
              <w:spacing w:after="0" w:line="240" w:lineRule="auto"/>
            </w:pPr>
            <w:r>
              <w:t>204. – csütörtök 1</w:t>
            </w:r>
            <w:r w:rsidR="003E7B76">
              <w:t>2-14</w:t>
            </w:r>
            <w:r>
              <w:t xml:space="preserve">-ig – </w:t>
            </w:r>
            <w:proofErr w:type="gramStart"/>
            <w:r>
              <w:t>A</w:t>
            </w:r>
            <w:proofErr w:type="gramEnd"/>
            <w:r>
              <w:t>/6. 117/A. – Dr. Leszkoven László e. docens</w:t>
            </w:r>
          </w:p>
          <w:p w14:paraId="684F6854" w14:textId="77777777" w:rsidR="006E70F8" w:rsidRDefault="006E70F8">
            <w:pPr>
              <w:spacing w:after="0" w:line="240" w:lineRule="auto"/>
              <w:rPr>
                <w:b/>
              </w:rPr>
            </w:pPr>
          </w:p>
          <w:p w14:paraId="1D35470F" w14:textId="77777777" w:rsidR="006E70F8" w:rsidRDefault="006E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levelező tagozat: </w:t>
            </w:r>
          </w:p>
          <w:p w14:paraId="4FD834B0" w14:textId="77777777" w:rsidR="006E70F8" w:rsidRPr="006E70F8" w:rsidRDefault="006E70F8">
            <w:pPr>
              <w:spacing w:after="0" w:line="240" w:lineRule="auto"/>
            </w:pPr>
            <w:r w:rsidRPr="006E70F8">
              <w:t xml:space="preserve">2018. XI. 30. (péntek) – 16-17.40-ig – XVIII. </w:t>
            </w:r>
            <w:proofErr w:type="spellStart"/>
            <w:r w:rsidRPr="006E70F8">
              <w:t>ea</w:t>
            </w:r>
            <w:proofErr w:type="spellEnd"/>
            <w:r w:rsidRPr="006E70F8">
              <w:t xml:space="preserve">. (2 óra) – Dr. Barzó Tímea e. </w:t>
            </w:r>
            <w:proofErr w:type="spellStart"/>
            <w:r w:rsidRPr="006E70F8">
              <w:t>doc</w:t>
            </w:r>
            <w:proofErr w:type="spellEnd"/>
            <w:r w:rsidRPr="006E70F8">
              <w:t>.</w:t>
            </w:r>
          </w:p>
          <w:p w14:paraId="6989836F" w14:textId="48C1DA15" w:rsidR="006E70F8" w:rsidRDefault="006E70F8">
            <w:pPr>
              <w:spacing w:after="0" w:line="240" w:lineRule="auto"/>
            </w:pPr>
          </w:p>
        </w:tc>
      </w:tr>
      <w:tr w:rsidR="00CD0200" w14:paraId="72888548" w14:textId="77777777" w:rsidTr="00E0732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5F03" w14:textId="358F0D04" w:rsidR="005514B9" w:rsidRPr="00DA7A7F" w:rsidRDefault="005514B9" w:rsidP="005514B9">
            <w:pPr>
              <w:pStyle w:val="Szvegtrzs"/>
              <w:rPr>
                <w:sz w:val="22"/>
                <w:szCs w:val="22"/>
                <w:u w:val="single"/>
              </w:rPr>
            </w:pPr>
            <w:r w:rsidRPr="00DA7A7F">
              <w:rPr>
                <w:sz w:val="22"/>
                <w:szCs w:val="22"/>
                <w:u w:val="single"/>
              </w:rPr>
              <w:lastRenderedPageBreak/>
              <w:t>Nappali képzésen:</w:t>
            </w:r>
          </w:p>
          <w:p w14:paraId="3BA57F5F" w14:textId="77777777" w:rsidR="005514B9" w:rsidRPr="00DA7A7F" w:rsidRDefault="005514B9" w:rsidP="005514B9">
            <w:pPr>
              <w:pStyle w:val="Szvegtrzs"/>
              <w:ind w:left="360"/>
              <w:rPr>
                <w:sz w:val="22"/>
                <w:szCs w:val="22"/>
              </w:rPr>
            </w:pPr>
          </w:p>
          <w:p w14:paraId="44221599" w14:textId="0220B3FC" w:rsidR="00CD0200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polgári jog tárgyköre, rendszere. A polgári jog (magánjog) tudományának kialakulása, fejlődése napjainkig. A magyar polgári jog alapvető elvei.</w:t>
            </w:r>
          </w:p>
          <w:p w14:paraId="3B1FC111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polgári jog forrásai. A polgári jogi norma szerkezete és fajtái. A polgári jogszabályok érvénye, hatálya és alkalmazása. A polgári jogviszony szerkezete és elemei. Az abszolút és relatív szerkezetű jogviszonyok.</w:t>
            </w:r>
          </w:p>
          <w:p w14:paraId="72878DF0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jogviszony alanya, tárgya, tartalma (alanyi jog, igény, hatalmasság stb.). A jogi tények mibenléte és csoportjai. Emberi magatartások. A jogügyletek fogalma és csoportjai.</w:t>
            </w:r>
          </w:p>
          <w:p w14:paraId="2EFA249C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Emberi és társadalmi körülmények. A közhatalmi aktusok, mint jogi tények. Az idő múlása. Az elévülés jogi természete.</w:t>
            </w:r>
          </w:p>
          <w:p w14:paraId="70EB89D3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személyek joga alapfogalmai (jogképesség, cselekvőképesség, szerző- és vétőképesség, belátási képesség, személy, személyiség, jogi személy). Az ember jogképessége. Holtnak nyilvánítás, a halál tényének megállapítása. A cselekvőképesség. A korlátozottan cselekvőképes személyek és ügyletkötő képességük. A cselekvőképtelen személyek köre és ügyletkötői képessége.</w:t>
            </w:r>
          </w:p>
          <w:p w14:paraId="05BE06F5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gondnokság alá helyezésre vonatkozó fontosabb rendelkezések (zárlat, ideiglenes gondnokrendelés). A gondnokrendelés. A támogatott döntéshozatal, a támogatóra vonatkozó alapvető rendelkezések. Előzetes jognyilatkozat tétele, a jognyilatkozat hatályossá nyilvánítása. A nyilvántartásba vétel.</w:t>
            </w:r>
          </w:p>
          <w:p w14:paraId="32C02D1A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személyiségvédelem közös szabályai, az általános személyiségi jog megjelenése. Jogellenességet kizáró okok a személyiségvédelemben. Közéleti szereplők sajátos megítélése. Az élet, testi épség, egészség védelme. A személyes szabadság, a magánélet, a magánlakás sérthetetlensége. A jóhírnév, becsület védelme, hátrányos megkülönböztetés tilalma.</w:t>
            </w:r>
          </w:p>
          <w:p w14:paraId="71DADE74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 xml:space="preserve">Képmáshoz és hangfelvételhez való jog. A kegyeleti jogok. PTK-ban nevesített titokfajták (levéltitok, üzleti titok, </w:t>
            </w:r>
            <w:proofErr w:type="spellStart"/>
            <w:r w:rsidRPr="00DA7A7F">
              <w:rPr>
                <w:sz w:val="22"/>
                <w:szCs w:val="22"/>
              </w:rPr>
              <w:t>hivatásbeli</w:t>
            </w:r>
            <w:proofErr w:type="spellEnd"/>
            <w:r w:rsidRPr="00DA7A7F">
              <w:rPr>
                <w:sz w:val="22"/>
                <w:szCs w:val="22"/>
              </w:rPr>
              <w:t xml:space="preserve"> titok). A személyhez fűződő jogok védelmének objektív és szubjektív eszközei. A sérelemdíj. A sajtóhelyreigazítás. A személyhez fűződő jogok érvényesítése.</w:t>
            </w:r>
          </w:p>
          <w:p w14:paraId="3B619A46" w14:textId="7801A319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jogi személy fogalma, fajtái. A jogi személy létesítésének szabályai. A jogi személy képviselete.</w:t>
            </w:r>
          </w:p>
          <w:p w14:paraId="1ED1E823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jogi személyek törvényességi felügyelete. A jogi személyek megszűnése. Az állam jogalanyisága. Az egyesület fogalma, létrejötte, szervezete, működése és megszűnése.</w:t>
            </w:r>
          </w:p>
          <w:p w14:paraId="58DF7327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köztestületek. A politikai pártok és az egyházak. Az alapítvány fogalma, létrehozása, szervezete, működése és megszűnése</w:t>
            </w:r>
          </w:p>
          <w:p w14:paraId="1F9827AB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szerzői alkotás kritériumai. A szerző személyhez fűződő és vagyoni jogai. A szerzői jog korlátai. Szerzői alkotás és munkaviszony. A szomszédos jogok védelme.</w:t>
            </w:r>
          </w:p>
          <w:p w14:paraId="77F10F86" w14:textId="77777777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szabadalmazható találmány kritériumai. Kizárás az oltalomból. A szabadalmi oltalom korlátai. A szabadalmi jogviszony tartalma. A használati mintaoltalom.</w:t>
            </w:r>
          </w:p>
          <w:p w14:paraId="5C611FDB" w14:textId="4BF3203A" w:rsidR="00185CBE" w:rsidRPr="00DA7A7F" w:rsidRDefault="00185CBE" w:rsidP="00185CBE">
            <w:pPr>
              <w:pStyle w:val="Szvegtrzs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know-how jogi védelme. A formatervezési minta oltalma. Védjegyként oltalmazható jelzések és kizáró okok. A védjegyoltalom keletkezése és megszűnése. A védjegybitorlás. A földrajzi árujelzők oltalma.</w:t>
            </w:r>
          </w:p>
          <w:p w14:paraId="05FBB1DE" w14:textId="77777777" w:rsidR="005514B9" w:rsidRPr="00DA7A7F" w:rsidRDefault="005514B9" w:rsidP="005514B9">
            <w:pPr>
              <w:pStyle w:val="Szvegtrzs"/>
              <w:rPr>
                <w:sz w:val="22"/>
                <w:szCs w:val="22"/>
              </w:rPr>
            </w:pPr>
          </w:p>
          <w:p w14:paraId="49283FBD" w14:textId="2F1772BB" w:rsidR="005514B9" w:rsidRPr="00DA7A7F" w:rsidRDefault="005514B9" w:rsidP="005514B9">
            <w:pPr>
              <w:pStyle w:val="Szvegtrzs"/>
              <w:rPr>
                <w:sz w:val="22"/>
                <w:szCs w:val="22"/>
                <w:u w:val="single"/>
              </w:rPr>
            </w:pPr>
            <w:r w:rsidRPr="00DA7A7F">
              <w:rPr>
                <w:sz w:val="22"/>
                <w:szCs w:val="22"/>
                <w:u w:val="single"/>
              </w:rPr>
              <w:t>Levelező képzésen:</w:t>
            </w:r>
          </w:p>
          <w:p w14:paraId="319938EA" w14:textId="77777777" w:rsidR="005514B9" w:rsidRPr="00DA7A7F" w:rsidRDefault="005514B9" w:rsidP="005514B9">
            <w:pPr>
              <w:pStyle w:val="Szvegtrzs"/>
              <w:rPr>
                <w:sz w:val="22"/>
                <w:szCs w:val="22"/>
              </w:rPr>
            </w:pPr>
          </w:p>
          <w:p w14:paraId="2EAD6922" w14:textId="77777777" w:rsidR="005514B9" w:rsidRDefault="005514B9" w:rsidP="005514B9">
            <w:pPr>
              <w:pStyle w:val="Szvegtrzs"/>
              <w:rPr>
                <w:sz w:val="22"/>
                <w:szCs w:val="22"/>
              </w:rPr>
            </w:pPr>
            <w:r w:rsidRPr="00DA7A7F">
              <w:rPr>
                <w:sz w:val="22"/>
                <w:szCs w:val="22"/>
              </w:rPr>
              <w:t>A képzés jellegéből adódóan a hallgatók a fentebb részletezett témák közül egy témakört dolgoznak fel részletesebben gyakorlati formában.</w:t>
            </w:r>
          </w:p>
          <w:p w14:paraId="2A0DE7F6" w14:textId="5B9CEFEE" w:rsidR="00F16819" w:rsidRPr="00DA7A7F" w:rsidRDefault="00F16819" w:rsidP="005514B9">
            <w:pPr>
              <w:pStyle w:val="Szvegtrzs"/>
              <w:rPr>
                <w:sz w:val="22"/>
                <w:szCs w:val="22"/>
              </w:rPr>
            </w:pPr>
          </w:p>
        </w:tc>
      </w:tr>
      <w:tr w:rsidR="0010535D" w14:paraId="7DC3EFD9" w14:textId="7777777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5244" w14:textId="77777777" w:rsidR="00552066" w:rsidRPr="00AB2EBD" w:rsidRDefault="00552066" w:rsidP="00552066">
            <w:pPr>
              <w:spacing w:after="0" w:line="240" w:lineRule="auto"/>
              <w:rPr>
                <w:b/>
                <w:color w:val="000000" w:themeColor="text1"/>
              </w:rPr>
            </w:pPr>
            <w:r w:rsidRPr="00AB2EBD">
              <w:rPr>
                <w:b/>
                <w:color w:val="000000" w:themeColor="text1"/>
              </w:rPr>
              <w:t>Félévközi számonkérés módja és értékelése, kollokvium teljesítésének módja:</w:t>
            </w:r>
          </w:p>
          <w:p w14:paraId="5D0401BF" w14:textId="00893EF1" w:rsidR="000E5174" w:rsidRPr="00D230F3" w:rsidRDefault="002105DA" w:rsidP="002105DA">
            <w:pPr>
              <w:pStyle w:val="NormlWeb"/>
            </w:pPr>
            <w:r w:rsidRPr="002105DA">
              <w:rPr>
                <w:sz w:val="22"/>
                <w:szCs w:val="22"/>
              </w:rPr>
              <w:t xml:space="preserve">A gyakorlati foglalkozásokon való részvétel az </w:t>
            </w:r>
            <w:r w:rsidRPr="002105DA">
              <w:rPr>
                <w:bCs/>
                <w:sz w:val="22"/>
                <w:szCs w:val="22"/>
              </w:rPr>
              <w:t>aláírás megszerzésének</w:t>
            </w:r>
            <w:r w:rsidRPr="002105DA">
              <w:rPr>
                <w:sz w:val="22"/>
                <w:szCs w:val="22"/>
              </w:rPr>
              <w:t xml:space="preserve"> feltétele. Nappali tagozaton kettőnél több hiányzás az aláírás megtagadását vonja maga után. Az </w:t>
            </w:r>
            <w:r w:rsidRPr="002105DA">
              <w:rPr>
                <w:bCs/>
                <w:sz w:val="22"/>
                <w:szCs w:val="22"/>
              </w:rPr>
              <w:t>aláírás megszerzésére</w:t>
            </w:r>
            <w:r w:rsidRPr="002105DA">
              <w:rPr>
                <w:sz w:val="22"/>
                <w:szCs w:val="22"/>
              </w:rPr>
              <w:t xml:space="preserve"> a szorgalmi időszak utolsó szemináriumán van lehetőség a teljes félévi anyagból, ennek eredménytelensége esetén a pótlás tanszéki hatáskörben a vizsgaidőszak első 2 hetében történik szintén a féléves anyagrészből. A </w:t>
            </w:r>
            <w:r w:rsidRPr="002105DA">
              <w:rPr>
                <w:bCs/>
                <w:sz w:val="22"/>
                <w:szCs w:val="22"/>
              </w:rPr>
              <w:t>gyakorlatok értékelése</w:t>
            </w:r>
            <w:r w:rsidRPr="002105DA">
              <w:rPr>
                <w:sz w:val="22"/>
                <w:szCs w:val="22"/>
              </w:rPr>
              <w:t xml:space="preserve"> ötfokozatú. A félév </w:t>
            </w:r>
            <w:proofErr w:type="gramStart"/>
            <w:r w:rsidRPr="002105DA">
              <w:rPr>
                <w:sz w:val="22"/>
                <w:szCs w:val="22"/>
              </w:rPr>
              <w:t>során</w:t>
            </w:r>
            <w:proofErr w:type="gramEnd"/>
            <w:r w:rsidRPr="002105DA">
              <w:rPr>
                <w:sz w:val="22"/>
                <w:szCs w:val="22"/>
              </w:rPr>
              <w:t xml:space="preserve"> </w:t>
            </w:r>
            <w:r w:rsidRPr="002105DA">
              <w:rPr>
                <w:b/>
                <w:sz w:val="22"/>
                <w:szCs w:val="22"/>
              </w:rPr>
              <w:t xml:space="preserve">nappali tagozaton </w:t>
            </w:r>
            <w:r w:rsidRPr="002105DA">
              <w:rPr>
                <w:b/>
                <w:bCs/>
                <w:sz w:val="22"/>
                <w:szCs w:val="22"/>
              </w:rPr>
              <w:t>2</w:t>
            </w:r>
            <w:r w:rsidRPr="002105DA">
              <w:rPr>
                <w:b/>
                <w:sz w:val="22"/>
                <w:szCs w:val="22"/>
              </w:rPr>
              <w:t xml:space="preserve"> zárthelyi dolgozat megírása kötelező (42. és 48. naptári hét)</w:t>
            </w:r>
            <w:r w:rsidRPr="002105DA">
              <w:rPr>
                <w:bCs/>
                <w:sz w:val="22"/>
                <w:szCs w:val="22"/>
              </w:rPr>
              <w:t>.</w:t>
            </w:r>
            <w:r w:rsidRPr="002105DA">
              <w:rPr>
                <w:sz w:val="22"/>
                <w:szCs w:val="22"/>
              </w:rPr>
              <w:t xml:space="preserve"> Az egyes számonkérések anyagát az elhangzott előadások témakörei határozzák meg. A két zárthelyi dolgozat legalább 60%-</w:t>
            </w:r>
            <w:proofErr w:type="spellStart"/>
            <w:r w:rsidRPr="002105DA">
              <w:rPr>
                <w:sz w:val="22"/>
                <w:szCs w:val="22"/>
              </w:rPr>
              <w:t>os</w:t>
            </w:r>
            <w:proofErr w:type="spellEnd"/>
            <w:r w:rsidRPr="002105DA">
              <w:rPr>
                <w:sz w:val="22"/>
                <w:szCs w:val="22"/>
              </w:rPr>
              <w:t xml:space="preserve"> teljesítése a feltétele az „elégséges (2)” minősítésnek, 70%-</w:t>
            </w:r>
            <w:proofErr w:type="spellStart"/>
            <w:r w:rsidRPr="002105DA">
              <w:rPr>
                <w:sz w:val="22"/>
                <w:szCs w:val="22"/>
              </w:rPr>
              <w:t>os</w:t>
            </w:r>
            <w:proofErr w:type="spellEnd"/>
            <w:r w:rsidRPr="002105DA">
              <w:rPr>
                <w:sz w:val="22"/>
                <w:szCs w:val="22"/>
              </w:rPr>
              <w:t xml:space="preserve"> a „közepes (3)” minősítésnek, 80%-</w:t>
            </w:r>
            <w:proofErr w:type="spellStart"/>
            <w:r w:rsidRPr="002105DA">
              <w:rPr>
                <w:sz w:val="22"/>
                <w:szCs w:val="22"/>
              </w:rPr>
              <w:t>os</w:t>
            </w:r>
            <w:proofErr w:type="spellEnd"/>
            <w:r w:rsidRPr="002105DA">
              <w:rPr>
                <w:sz w:val="22"/>
                <w:szCs w:val="22"/>
              </w:rPr>
              <w:t xml:space="preserve"> a „jó (4)” minősítésnek és a 90%-</w:t>
            </w:r>
            <w:proofErr w:type="spellStart"/>
            <w:r w:rsidRPr="002105DA">
              <w:rPr>
                <w:sz w:val="22"/>
                <w:szCs w:val="22"/>
              </w:rPr>
              <w:t>os</w:t>
            </w:r>
            <w:proofErr w:type="spellEnd"/>
            <w:r w:rsidRPr="002105DA">
              <w:rPr>
                <w:sz w:val="22"/>
                <w:szCs w:val="22"/>
              </w:rPr>
              <w:t xml:space="preserve"> teljesítményt elérő hallgató „jeles (5)” minősítést kap. Levelező tagozaton a gyakorlati foglalkozáson való jelenlét az aláírás és a megajánlott </w:t>
            </w:r>
            <w:r w:rsidRPr="002105DA">
              <w:rPr>
                <w:sz w:val="22"/>
                <w:szCs w:val="22"/>
              </w:rPr>
              <w:lastRenderedPageBreak/>
              <w:t>közepes (3) gyakorlati jegy feltétele. Aki a féléves tananyaghoz kapcsolódó különböző témakörben összesen öt kúriai vagy ítélőtáblai döntést, illetve az annak alapjául szolgáló jogesetet (tényállást) dolgoz fel és mutat be írásbeli feladat formájában, a beadott dolgozat színvonalához mérten jó (4) vagy jeles (5) érdemjegyet kaphat.</w:t>
            </w:r>
          </w:p>
        </w:tc>
      </w:tr>
      <w:tr w:rsidR="0010535D" w14:paraId="606C7C62" w14:textId="7777777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483" w14:textId="4C79FD0F" w:rsidR="0010535D" w:rsidRPr="00527130" w:rsidRDefault="0077591B">
            <w:pPr>
              <w:spacing w:after="0" w:line="240" w:lineRule="auto"/>
              <w:rPr>
                <w:b/>
                <w:color w:val="000000" w:themeColor="text1"/>
              </w:rPr>
            </w:pPr>
            <w:r w:rsidRPr="00527130">
              <w:rPr>
                <w:b/>
                <w:color w:val="000000" w:themeColor="text1"/>
              </w:rPr>
              <w:lastRenderedPageBreak/>
              <w:t>Kötelező irodalom:</w:t>
            </w:r>
          </w:p>
          <w:p w14:paraId="134ECCE4" w14:textId="77777777" w:rsidR="00185CBE" w:rsidRDefault="00185CBE" w:rsidP="00185CBE">
            <w:pPr>
              <w:pStyle w:val="Listaszerbekezds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after="0" w:line="240" w:lineRule="auto"/>
              <w:ind w:left="342"/>
              <w:textAlignment w:val="auto"/>
            </w:pPr>
            <w:r>
              <w:t xml:space="preserve">Barzó – Bíró – Juhász – </w:t>
            </w:r>
            <w:proofErr w:type="spellStart"/>
            <w:r>
              <w:t>Lenkovics</w:t>
            </w:r>
            <w:proofErr w:type="spellEnd"/>
            <w:r>
              <w:t xml:space="preserve"> – Pusztahelyi: Általános tanok és Személyek joga, Bíró György (sorozatszerk.): Új magyar polgári jog sorozat I. kötet, </w:t>
            </w:r>
            <w:proofErr w:type="spellStart"/>
            <w:r>
              <w:t>Novotni</w:t>
            </w:r>
            <w:proofErr w:type="spellEnd"/>
            <w:r>
              <w:t xml:space="preserve"> Kiadó, Miskolc, 2015.</w:t>
            </w:r>
          </w:p>
          <w:p w14:paraId="4A3869DC" w14:textId="24B667E9" w:rsidR="00552066" w:rsidRPr="000835EA" w:rsidRDefault="00552066" w:rsidP="00185CBE">
            <w:pPr>
              <w:pStyle w:val="Listaszerbekezds"/>
              <w:numPr>
                <w:ilvl w:val="0"/>
                <w:numId w:val="17"/>
              </w:numPr>
              <w:ind w:left="342"/>
            </w:pPr>
            <w:r>
              <w:t xml:space="preserve">Attila </w:t>
            </w:r>
            <w:proofErr w:type="spellStart"/>
            <w:r>
              <w:t>Menyhárd</w:t>
            </w:r>
            <w:proofErr w:type="spellEnd"/>
            <w:r>
              <w:t xml:space="preserve"> -Emőd Veress (</w:t>
            </w:r>
            <w:proofErr w:type="spellStart"/>
            <w:r>
              <w:t>edt</w:t>
            </w:r>
            <w:proofErr w:type="spellEnd"/>
            <w:r>
              <w:t xml:space="preserve">.): New Civil </w:t>
            </w:r>
            <w:proofErr w:type="spellStart"/>
            <w:r>
              <w:t>Codes</w:t>
            </w:r>
            <w:proofErr w:type="spellEnd"/>
            <w:r>
              <w:t xml:space="preserve"> in Hungary and </w:t>
            </w:r>
            <w:proofErr w:type="spellStart"/>
            <w:r>
              <w:t>Romania</w:t>
            </w:r>
            <w:proofErr w:type="spellEnd"/>
            <w:r>
              <w:t>, Springer International Publishing AG, 2017.</w:t>
            </w:r>
          </w:p>
          <w:p w14:paraId="1E2E4A19" w14:textId="77777777" w:rsidR="00746AE7" w:rsidRPr="00527130" w:rsidRDefault="00746AE7" w:rsidP="00DE514C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7C1EE013" w14:textId="305B989D" w:rsidR="0010535D" w:rsidRPr="00527130" w:rsidRDefault="0077591B" w:rsidP="00DE514C">
            <w:pPr>
              <w:spacing w:after="0" w:line="240" w:lineRule="auto"/>
              <w:rPr>
                <w:b/>
                <w:color w:val="000000" w:themeColor="text1"/>
              </w:rPr>
            </w:pPr>
            <w:r w:rsidRPr="00527130">
              <w:rPr>
                <w:b/>
                <w:color w:val="000000" w:themeColor="text1"/>
              </w:rPr>
              <w:t>Ajánlott irodalom:</w:t>
            </w:r>
          </w:p>
          <w:p w14:paraId="6DC0D8C7" w14:textId="77777777" w:rsidR="00552066" w:rsidRDefault="00552066" w:rsidP="00185CBE">
            <w:pPr>
              <w:pStyle w:val="Listaszerbekezds"/>
              <w:numPr>
                <w:ilvl w:val="0"/>
                <w:numId w:val="18"/>
              </w:numPr>
              <w:suppressAutoHyphens w:val="0"/>
              <w:autoSpaceDE w:val="0"/>
              <w:adjustRightInd w:val="0"/>
              <w:spacing w:after="0" w:line="240" w:lineRule="auto"/>
              <w:ind w:left="342"/>
              <w:textAlignment w:val="auto"/>
            </w:pPr>
            <w:r>
              <w:t>Petrik Ferenc (szerk.): Az új Ptk. Magyarázata, I/VI és IV/VI. kötetek (A 2013. évi V. törvény, az új Ptk. kommentárja), HVG-ORAC, Budapest, 2014. második kiadás</w:t>
            </w:r>
          </w:p>
          <w:p w14:paraId="77C8F924" w14:textId="77777777" w:rsidR="00552066" w:rsidRDefault="00552066" w:rsidP="00185CBE">
            <w:pPr>
              <w:pStyle w:val="Listaszerbekezds"/>
              <w:numPr>
                <w:ilvl w:val="0"/>
                <w:numId w:val="18"/>
              </w:numPr>
              <w:suppressAutoHyphens w:val="0"/>
              <w:autoSpaceDE w:val="0"/>
              <w:adjustRightInd w:val="0"/>
              <w:spacing w:after="0" w:line="240" w:lineRule="auto"/>
              <w:ind w:left="342"/>
              <w:textAlignment w:val="auto"/>
            </w:pPr>
            <w:r>
              <w:t xml:space="preserve">Pusztahelyi Réka: The Time </w:t>
            </w:r>
            <w:proofErr w:type="spellStart"/>
            <w:r>
              <w:t>Limits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Enforcing</w:t>
            </w:r>
            <w:proofErr w:type="spellEnd"/>
            <w:r>
              <w:t xml:space="preserve"> </w:t>
            </w:r>
            <w:proofErr w:type="spellStart"/>
            <w:r>
              <w:t>Claims</w:t>
            </w:r>
            <w:proofErr w:type="spellEnd"/>
            <w:r>
              <w:t xml:space="preserve"> and </w:t>
            </w:r>
            <w:proofErr w:type="spellStart"/>
            <w:r>
              <w:t>Exercising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: </w:t>
            </w:r>
            <w:proofErr w:type="spellStart"/>
            <w:r>
              <w:t>Preclusive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and </w:t>
            </w:r>
            <w:proofErr w:type="spellStart"/>
            <w:r>
              <w:t>Periods</w:t>
            </w:r>
            <w:proofErr w:type="spellEnd"/>
            <w:r>
              <w:t xml:space="preserve"> of </w:t>
            </w:r>
            <w:proofErr w:type="spellStart"/>
            <w:r>
              <w:t>Limitation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Proposal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Hungarian</w:t>
            </w:r>
            <w:proofErr w:type="spellEnd"/>
            <w:r>
              <w:t xml:space="preserve"> Civil </w:t>
            </w:r>
            <w:proofErr w:type="spellStart"/>
            <w:r>
              <w:t>Code</w:t>
            </w:r>
            <w:proofErr w:type="spellEnd"/>
            <w:r>
              <w:t xml:space="preserve"> ZBORNIK RADOVA PRAVNI FAKULTET (NOVI SAD) 46.:(2.) pp. 551-571. (2012)</w:t>
            </w:r>
          </w:p>
          <w:p w14:paraId="342BD981" w14:textId="5B7492BE" w:rsidR="00185CBE" w:rsidRPr="009A6C0E" w:rsidRDefault="009A6C0E" w:rsidP="009A6C0E">
            <w:pPr>
              <w:pStyle w:val="Listaszerbekezds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ind w:left="342"/>
              <w:jc w:val="left"/>
              <w:textAlignment w:val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9A6C0E">
              <w:rPr>
                <w:rFonts w:eastAsia="Times New Roman"/>
                <w:sz w:val="24"/>
                <w:szCs w:val="24"/>
                <w:lang w:eastAsia="hu-HU"/>
              </w:rPr>
              <w:t>Barzó</w:t>
            </w:r>
            <w:r w:rsidR="00185CBE"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Tímea: A nem vagyoni sérelem szankcionálásának fejlődési tendenciái. In LEGE ET FIDE Ünnepi tanulmányok Szabó Imre 65. születésnapjára (szerk. Gellén K. – Görög M.) </w:t>
            </w:r>
            <w:proofErr w:type="spellStart"/>
            <w:r w:rsidR="00185CBE" w:rsidRPr="009A6C0E">
              <w:rPr>
                <w:rFonts w:eastAsia="Times New Roman"/>
                <w:sz w:val="24"/>
                <w:szCs w:val="24"/>
                <w:lang w:eastAsia="hu-HU"/>
              </w:rPr>
              <w:t>Iurisperitus</w:t>
            </w:r>
            <w:proofErr w:type="spellEnd"/>
            <w:r w:rsidR="00185CBE"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Kiadó Szeged, 2016. 38-50.o. </w:t>
            </w:r>
          </w:p>
          <w:p w14:paraId="1143ECED" w14:textId="67451C6B" w:rsidR="00185CBE" w:rsidRPr="009A6C0E" w:rsidRDefault="009A6C0E" w:rsidP="009A6C0E">
            <w:pPr>
              <w:pStyle w:val="Listaszerbekezds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ind w:left="342"/>
              <w:jc w:val="left"/>
              <w:textAlignment w:val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9A6C0E">
              <w:rPr>
                <w:rFonts w:eastAsia="Times New Roman"/>
                <w:sz w:val="24"/>
                <w:szCs w:val="24"/>
                <w:lang w:eastAsia="hu-HU"/>
              </w:rPr>
              <w:t>Barzó</w:t>
            </w:r>
            <w:r w:rsidR="00185CBE"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Tímea – SÁPI Edit: A sérelemdíj alkalmazhatósága a szerzői jogban. Miskolci Jogi Szemle XI. évfolyam; 2. szám; 2016. 55-75 o. </w:t>
            </w:r>
          </w:p>
          <w:p w14:paraId="2B0B0285" w14:textId="00BEADC2" w:rsidR="00185CBE" w:rsidRPr="00BF38AD" w:rsidRDefault="00185CBE" w:rsidP="009A6C0E">
            <w:pPr>
              <w:pStyle w:val="Listaszerbekezds"/>
              <w:numPr>
                <w:ilvl w:val="0"/>
                <w:numId w:val="18"/>
              </w:numPr>
              <w:suppressAutoHyphens w:val="0"/>
              <w:autoSpaceDE w:val="0"/>
              <w:adjustRightInd w:val="0"/>
              <w:spacing w:after="0" w:line="240" w:lineRule="auto"/>
              <w:ind w:left="342"/>
              <w:textAlignment w:val="auto"/>
            </w:pPr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Szalai Péter: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Intellectual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Property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Rights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Legal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System,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with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Overview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New Civil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Code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, In: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Smuk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Péter (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.)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Transformation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Legal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System 2010-2013. Budapest: </w:t>
            </w:r>
            <w:proofErr w:type="spellStart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>Complex</w:t>
            </w:r>
            <w:proofErr w:type="spellEnd"/>
            <w:r w:rsidRPr="009A6C0E">
              <w:rPr>
                <w:rFonts w:eastAsia="Times New Roman"/>
                <w:sz w:val="24"/>
                <w:szCs w:val="24"/>
                <w:lang w:eastAsia="hu-HU"/>
              </w:rPr>
              <w:t xml:space="preserve"> Kiadó, 2013. pp. 305-316.</w:t>
            </w:r>
          </w:p>
        </w:tc>
      </w:tr>
    </w:tbl>
    <w:p w14:paraId="41EDD303" w14:textId="77777777" w:rsidR="0010535D" w:rsidRDefault="0010535D"/>
    <w:sectPr w:rsidR="0010535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965C1" w14:textId="77777777" w:rsidR="00F67A85" w:rsidRDefault="00F67A85">
      <w:pPr>
        <w:spacing w:after="0" w:line="240" w:lineRule="auto"/>
      </w:pPr>
      <w:r>
        <w:separator/>
      </w:r>
    </w:p>
  </w:endnote>
  <w:endnote w:type="continuationSeparator" w:id="0">
    <w:p w14:paraId="3746AD2C" w14:textId="77777777" w:rsidR="00F67A85" w:rsidRDefault="00F6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7FFD" w14:textId="77777777" w:rsidR="00F67A85" w:rsidRDefault="00F67A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A85D4B" w14:textId="77777777" w:rsidR="00F67A85" w:rsidRDefault="00F6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EA6C" w14:textId="0C7922D2" w:rsidR="00621FED" w:rsidRDefault="00CD0200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21B43DD"/>
    <w:multiLevelType w:val="hybridMultilevel"/>
    <w:tmpl w:val="77322A6E"/>
    <w:lvl w:ilvl="0" w:tplc="040E000F">
      <w:start w:val="1"/>
      <w:numFmt w:val="decimal"/>
      <w:lvlText w:val="%1."/>
      <w:lvlJc w:val="left"/>
      <w:pPr>
        <w:tabs>
          <w:tab w:val="num" w:pos="207"/>
        </w:tabs>
        <w:ind w:left="284" w:hanging="284"/>
      </w:pPr>
      <w:rPr>
        <w:rFonts w:cs="Times New Roman" w:hint="default"/>
      </w:rPr>
    </w:lvl>
    <w:lvl w:ilvl="1" w:tplc="40042FB8">
      <w:start w:val="1"/>
      <w:numFmt w:val="decimal"/>
      <w:lvlText w:val="%2."/>
      <w:lvlJc w:val="left"/>
      <w:pPr>
        <w:ind w:left="513" w:hanging="360"/>
      </w:pPr>
      <w:rPr>
        <w:rFonts w:cs="Times New Roman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B071AD1"/>
    <w:multiLevelType w:val="hybridMultilevel"/>
    <w:tmpl w:val="010A5B8C"/>
    <w:lvl w:ilvl="0" w:tplc="EAC87B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1AD3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4487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7E77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F24A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8476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5810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168A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7E3B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FD52E8"/>
    <w:multiLevelType w:val="hybridMultilevel"/>
    <w:tmpl w:val="B5A642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414"/>
    <w:multiLevelType w:val="hybridMultilevel"/>
    <w:tmpl w:val="5CA0F9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662D6"/>
    <w:multiLevelType w:val="hybridMultilevel"/>
    <w:tmpl w:val="C35658BA"/>
    <w:lvl w:ilvl="0" w:tplc="5FFE12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5118DD"/>
    <w:multiLevelType w:val="hybridMultilevel"/>
    <w:tmpl w:val="31FAB27C"/>
    <w:lvl w:ilvl="0" w:tplc="DF5079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CD7CE1"/>
    <w:multiLevelType w:val="hybridMultilevel"/>
    <w:tmpl w:val="6EA0900A"/>
    <w:lvl w:ilvl="0" w:tplc="040E000F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C1A2A"/>
    <w:multiLevelType w:val="hybridMultilevel"/>
    <w:tmpl w:val="D312FA30"/>
    <w:lvl w:ilvl="0" w:tplc="CC28B16A">
      <w:start w:val="1"/>
      <w:numFmt w:val="decimal"/>
      <w:lvlText w:val="%1."/>
      <w:lvlJc w:val="left"/>
      <w:pPr>
        <w:tabs>
          <w:tab w:val="num" w:pos="207"/>
        </w:tabs>
        <w:ind w:left="284" w:hanging="28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26411F"/>
    <w:multiLevelType w:val="hybridMultilevel"/>
    <w:tmpl w:val="EDBA99C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9130A5"/>
    <w:multiLevelType w:val="hybridMultilevel"/>
    <w:tmpl w:val="AFBAF1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0622B"/>
    <w:multiLevelType w:val="hybridMultilevel"/>
    <w:tmpl w:val="C2BE83F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985CB6"/>
    <w:multiLevelType w:val="hybridMultilevel"/>
    <w:tmpl w:val="16367E6E"/>
    <w:lvl w:ilvl="0" w:tplc="B70612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36AEFA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3CF8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F6092C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AA44A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358C3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B8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E426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264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AC791B"/>
    <w:multiLevelType w:val="hybridMultilevel"/>
    <w:tmpl w:val="B8E837D2"/>
    <w:lvl w:ilvl="0" w:tplc="6E38C3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D54EE6"/>
    <w:multiLevelType w:val="hybridMultilevel"/>
    <w:tmpl w:val="2354C2EC"/>
    <w:lvl w:ilvl="0" w:tplc="40845E2A">
      <w:start w:val="1"/>
      <w:numFmt w:val="decimal"/>
      <w:lvlText w:val="%1."/>
      <w:lvlJc w:val="left"/>
      <w:pPr>
        <w:tabs>
          <w:tab w:val="num" w:pos="632"/>
        </w:tabs>
        <w:ind w:left="709" w:hanging="28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 w15:restartNumberingAfterBreak="0">
    <w:nsid w:val="65D609D7"/>
    <w:multiLevelType w:val="hybridMultilevel"/>
    <w:tmpl w:val="7876D676"/>
    <w:lvl w:ilvl="0" w:tplc="A15CC28E">
      <w:start w:val="1"/>
      <w:numFmt w:val="decimal"/>
      <w:lvlText w:val="%1."/>
      <w:lvlJc w:val="left"/>
      <w:pPr>
        <w:tabs>
          <w:tab w:val="num" w:pos="207"/>
        </w:tabs>
        <w:ind w:left="284" w:hanging="284"/>
      </w:pPr>
      <w:rPr>
        <w:rFonts w:cs="Times New Roman" w:hint="default"/>
      </w:rPr>
    </w:lvl>
    <w:lvl w:ilvl="1" w:tplc="63644F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261C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EEB6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6893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FC52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4AAC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1624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7252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A50A02"/>
    <w:multiLevelType w:val="hybridMultilevel"/>
    <w:tmpl w:val="BA5AB488"/>
    <w:lvl w:ilvl="0" w:tplc="CC28B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971BF6"/>
    <w:multiLevelType w:val="hybridMultilevel"/>
    <w:tmpl w:val="1ACC7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16"/>
  </w:num>
  <w:num w:numId="9">
    <w:abstractNumId w:val="9"/>
  </w:num>
  <w:num w:numId="10">
    <w:abstractNumId w:val="5"/>
  </w:num>
  <w:num w:numId="11">
    <w:abstractNumId w:val="13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4F6"/>
    <w:rsid w:val="000240B7"/>
    <w:rsid w:val="000D419F"/>
    <w:rsid w:val="000E5174"/>
    <w:rsid w:val="0010535D"/>
    <w:rsid w:val="0014777A"/>
    <w:rsid w:val="00155D18"/>
    <w:rsid w:val="00185CBE"/>
    <w:rsid w:val="0018730E"/>
    <w:rsid w:val="001C7EE3"/>
    <w:rsid w:val="001D10BD"/>
    <w:rsid w:val="001E35DD"/>
    <w:rsid w:val="002105DA"/>
    <w:rsid w:val="002300E7"/>
    <w:rsid w:val="00232CE9"/>
    <w:rsid w:val="003273BB"/>
    <w:rsid w:val="003876C4"/>
    <w:rsid w:val="003A48FD"/>
    <w:rsid w:val="003E3DD6"/>
    <w:rsid w:val="003E7B76"/>
    <w:rsid w:val="004077E8"/>
    <w:rsid w:val="00476B3A"/>
    <w:rsid w:val="004C6C09"/>
    <w:rsid w:val="004C72BC"/>
    <w:rsid w:val="004F6810"/>
    <w:rsid w:val="00517E06"/>
    <w:rsid w:val="00527130"/>
    <w:rsid w:val="00544ED0"/>
    <w:rsid w:val="005514B9"/>
    <w:rsid w:val="00552066"/>
    <w:rsid w:val="00575F20"/>
    <w:rsid w:val="00577982"/>
    <w:rsid w:val="005A35FA"/>
    <w:rsid w:val="005F744A"/>
    <w:rsid w:val="006058F6"/>
    <w:rsid w:val="0060781E"/>
    <w:rsid w:val="006812B3"/>
    <w:rsid w:val="006814A0"/>
    <w:rsid w:val="006B6ACA"/>
    <w:rsid w:val="006C686F"/>
    <w:rsid w:val="006E70F8"/>
    <w:rsid w:val="007314AE"/>
    <w:rsid w:val="00746AE7"/>
    <w:rsid w:val="00753EFC"/>
    <w:rsid w:val="0077560D"/>
    <w:rsid w:val="0077591B"/>
    <w:rsid w:val="00781BFB"/>
    <w:rsid w:val="007D32F7"/>
    <w:rsid w:val="007D7821"/>
    <w:rsid w:val="00873EDB"/>
    <w:rsid w:val="00873FB2"/>
    <w:rsid w:val="00882464"/>
    <w:rsid w:val="008B0317"/>
    <w:rsid w:val="008C6948"/>
    <w:rsid w:val="009A6C0E"/>
    <w:rsid w:val="00A02953"/>
    <w:rsid w:val="00A31138"/>
    <w:rsid w:val="00A76BC1"/>
    <w:rsid w:val="00AA1BDC"/>
    <w:rsid w:val="00AC2C73"/>
    <w:rsid w:val="00B20247"/>
    <w:rsid w:val="00B37181"/>
    <w:rsid w:val="00B46178"/>
    <w:rsid w:val="00B64CDA"/>
    <w:rsid w:val="00BF38AD"/>
    <w:rsid w:val="00C44374"/>
    <w:rsid w:val="00C670CE"/>
    <w:rsid w:val="00C71356"/>
    <w:rsid w:val="00C72E95"/>
    <w:rsid w:val="00C92B72"/>
    <w:rsid w:val="00C93B2C"/>
    <w:rsid w:val="00CD0200"/>
    <w:rsid w:val="00CE2397"/>
    <w:rsid w:val="00CF61FC"/>
    <w:rsid w:val="00D16C01"/>
    <w:rsid w:val="00D22798"/>
    <w:rsid w:val="00D230F3"/>
    <w:rsid w:val="00D91E8E"/>
    <w:rsid w:val="00DA7A7F"/>
    <w:rsid w:val="00DC37BD"/>
    <w:rsid w:val="00DE514C"/>
    <w:rsid w:val="00E4045E"/>
    <w:rsid w:val="00EB7202"/>
    <w:rsid w:val="00F16819"/>
    <w:rsid w:val="00F5439F"/>
    <w:rsid w:val="00F67A85"/>
    <w:rsid w:val="00FD20A7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0891"/>
  <w15:docId w15:val="{A7A49DD7-7B5E-4B5C-9143-F29FFBC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pPr>
      <w:numPr>
        <w:numId w:val="1"/>
      </w:numPr>
    </w:pPr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ascii="Times New Roman" w:hAnsi="Times New Roman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CD0200"/>
    <w:pPr>
      <w:suppressAutoHyphens w:val="0"/>
      <w:autoSpaceDN/>
      <w:spacing w:after="0" w:line="240" w:lineRule="auto"/>
      <w:ind w:left="720"/>
      <w:contextualSpacing/>
      <w:jc w:val="left"/>
      <w:textAlignment w:val="auto"/>
    </w:pPr>
    <w:rPr>
      <w:rFonts w:eastAsia="Times New Roman"/>
      <w:sz w:val="24"/>
      <w:szCs w:val="24"/>
      <w:lang w:eastAsia="hu-HU"/>
    </w:rPr>
  </w:style>
  <w:style w:type="paragraph" w:customStyle="1" w:styleId="bek2">
    <w:name w:val="bek2"/>
    <w:basedOn w:val="Norml"/>
    <w:rsid w:val="004077E8"/>
    <w:pPr>
      <w:suppressAutoHyphens w:val="0"/>
      <w:autoSpaceDN/>
      <w:spacing w:after="0" w:line="36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4077E8"/>
    <w:pPr>
      <w:suppressAutoHyphens w:val="0"/>
      <w:autoSpaceDN/>
      <w:spacing w:after="0" w:line="240" w:lineRule="auto"/>
      <w:textAlignment w:val="auto"/>
    </w:pPr>
    <w:rPr>
      <w:rFonts w:eastAsia="Times New Roman"/>
      <w:sz w:val="24"/>
      <w:szCs w:val="20"/>
      <w:lang w:eastAsia="ja-JP"/>
    </w:rPr>
  </w:style>
  <w:style w:type="character" w:customStyle="1" w:styleId="SzvegtrzsChar">
    <w:name w:val="Szövegtörzs Char"/>
    <w:basedOn w:val="Bekezdsalapbettpusa"/>
    <w:link w:val="Szvegtrzs"/>
    <w:rsid w:val="004077E8"/>
    <w:rPr>
      <w:rFonts w:ascii="Times New Roman" w:eastAsia="Times New Roman" w:hAnsi="Times New Roman"/>
      <w:sz w:val="24"/>
      <w:szCs w:val="20"/>
      <w:lang w:eastAsia="ja-JP"/>
    </w:rPr>
  </w:style>
  <w:style w:type="paragraph" w:styleId="Listaszerbekezds">
    <w:name w:val="List Paragraph"/>
    <w:basedOn w:val="Norml"/>
    <w:uiPriority w:val="34"/>
    <w:qFormat/>
    <w:rsid w:val="00746AE7"/>
    <w:pPr>
      <w:ind w:left="720"/>
      <w:contextualSpacing/>
    </w:pPr>
  </w:style>
  <w:style w:type="paragraph" w:customStyle="1" w:styleId="felsorol">
    <w:name w:val="felsorol"/>
    <w:basedOn w:val="Norml"/>
    <w:rsid w:val="004F6810"/>
    <w:pPr>
      <w:suppressAutoHyphens w:val="0"/>
      <w:autoSpaceDN/>
      <w:spacing w:after="0" w:line="240" w:lineRule="auto"/>
      <w:ind w:left="567" w:hanging="567"/>
      <w:textAlignment w:val="auto"/>
    </w:pPr>
    <w:rPr>
      <w:rFonts w:eastAsia="Times New Roman"/>
      <w:sz w:val="26"/>
      <w:szCs w:val="20"/>
      <w:lang w:eastAsia="hu-HU"/>
    </w:rPr>
  </w:style>
  <w:style w:type="paragraph" w:customStyle="1" w:styleId="Listaszerbekezds1">
    <w:name w:val="Listaszerű bekezdés1"/>
    <w:basedOn w:val="Norml"/>
    <w:rsid w:val="004F681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="Calibri" w:eastAsia="Times New Roman" w:hAnsi="Calibri"/>
    </w:rPr>
  </w:style>
  <w:style w:type="character" w:styleId="Hiperhivatkozs">
    <w:name w:val="Hyperlink"/>
    <w:basedOn w:val="Bekezdsalapbettpusa"/>
    <w:rsid w:val="00BF38A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52066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5CB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Kati</cp:lastModifiedBy>
  <cp:revision>10</cp:revision>
  <cp:lastPrinted>2018-09-06T06:53:00Z</cp:lastPrinted>
  <dcterms:created xsi:type="dcterms:W3CDTF">2018-08-31T09:57:00Z</dcterms:created>
  <dcterms:modified xsi:type="dcterms:W3CDTF">2018-09-07T09:58:00Z</dcterms:modified>
</cp:coreProperties>
</file>