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4" w:rsidRDefault="00A960A4">
      <w:pPr>
        <w:pStyle w:val="Cm"/>
      </w:pPr>
      <w:r>
        <w:t>POLGÁRI JOG II.</w:t>
      </w:r>
    </w:p>
    <w:p w:rsidR="00A960A4" w:rsidRDefault="00A960A4">
      <w:pPr>
        <w:pStyle w:val="Cm"/>
      </w:pPr>
    </w:p>
    <w:p w:rsidR="00A960A4" w:rsidRDefault="00A960A4">
      <w:pPr>
        <w:spacing w:line="360" w:lineRule="atLeast"/>
        <w:jc w:val="center"/>
        <w:rPr>
          <w:b/>
        </w:rPr>
      </w:pPr>
      <w:r>
        <w:rPr>
          <w:b/>
        </w:rPr>
        <w:t>II. évfolyam – Vizsgatételek</w:t>
      </w:r>
    </w:p>
    <w:p w:rsidR="00A960A4" w:rsidRDefault="00A960A4">
      <w:pPr>
        <w:spacing w:line="360" w:lineRule="atLeast"/>
        <w:jc w:val="center"/>
        <w:rPr>
          <w:b/>
        </w:rPr>
      </w:pPr>
      <w:r>
        <w:rPr>
          <w:b/>
        </w:rPr>
        <w:t>Dologi jog – Öröklési jog</w:t>
      </w:r>
    </w:p>
    <w:p w:rsidR="002B6F88" w:rsidRDefault="002B6F88">
      <w:pPr>
        <w:spacing w:line="360" w:lineRule="atLeast"/>
        <w:jc w:val="center"/>
        <w:rPr>
          <w:b/>
        </w:rPr>
      </w:pPr>
    </w:p>
    <w:p w:rsidR="00A960A4" w:rsidRDefault="00A960A4">
      <w:pPr>
        <w:spacing w:line="360" w:lineRule="atLeast"/>
        <w:jc w:val="center"/>
      </w:pPr>
      <w:r>
        <w:rPr>
          <w:b/>
        </w:rPr>
        <w:t>I.</w:t>
      </w:r>
    </w:p>
    <w:p w:rsidR="00A960A4" w:rsidRDefault="00A960A4" w:rsidP="002E0FE4">
      <w:pPr>
        <w:numPr>
          <w:ilvl w:val="0"/>
          <w:numId w:val="1"/>
        </w:numPr>
        <w:spacing w:before="120"/>
        <w:ind w:left="284" w:hanging="284"/>
        <w:jc w:val="both"/>
      </w:pPr>
      <w:r>
        <w:t>A dologi jog helye a jogrendszerben. A dologi jog</w:t>
      </w:r>
      <w:r w:rsidRPr="00195174">
        <w:t xml:space="preserve"> </w:t>
      </w:r>
      <w:r>
        <w:t>fogalma és felosztása alapelvei. A dolgok osztályozása. A dologkapcsolatok</w:t>
      </w:r>
    </w:p>
    <w:p w:rsidR="00A960A4" w:rsidRDefault="00A960A4" w:rsidP="002E0FE4">
      <w:pPr>
        <w:numPr>
          <w:ilvl w:val="0"/>
          <w:numId w:val="2"/>
        </w:numPr>
        <w:spacing w:before="120"/>
        <w:ind w:left="284" w:hanging="284"/>
        <w:jc w:val="both"/>
      </w:pPr>
      <w:r>
        <w:t>A föld és az épület jogi helyzete (főszabály, kivétel, feltételei). A földhasználati jog</w:t>
      </w:r>
    </w:p>
    <w:p w:rsidR="00A960A4" w:rsidRDefault="00A960A4" w:rsidP="002E0FE4">
      <w:pPr>
        <w:numPr>
          <w:ilvl w:val="0"/>
          <w:numId w:val="3"/>
        </w:numPr>
        <w:spacing w:before="120"/>
        <w:ind w:left="284" w:hanging="284"/>
        <w:jc w:val="both"/>
      </w:pPr>
      <w:r>
        <w:t>A tulajdon fogalma és alkotmányos szabályozása. A tulajdonjogviszony elemei, (alanya, tárgya, szerkezete). A tulajdonjogviszony tartalma (a jogosultságok – részjogosítványok – és kötelezettségek köre)</w:t>
      </w:r>
    </w:p>
    <w:p w:rsidR="00A960A4" w:rsidRDefault="00A960A4" w:rsidP="002E0FE4">
      <w:pPr>
        <w:numPr>
          <w:ilvl w:val="0"/>
          <w:numId w:val="4"/>
        </w:numPr>
        <w:spacing w:before="120"/>
        <w:ind w:left="284" w:hanging="284"/>
        <w:jc w:val="both"/>
      </w:pPr>
      <w:r>
        <w:t>A tulajdonjog magánjogi korlátai. Az elidegenítési és terhelési tilalom</w:t>
      </w:r>
    </w:p>
    <w:p w:rsidR="00A960A4" w:rsidRDefault="00A960A4" w:rsidP="002E0FE4">
      <w:pPr>
        <w:numPr>
          <w:ilvl w:val="0"/>
          <w:numId w:val="5"/>
        </w:numPr>
        <w:spacing w:before="120"/>
        <w:ind w:left="284" w:hanging="284"/>
        <w:jc w:val="both"/>
      </w:pPr>
      <w:r>
        <w:t>A szomszédjog általános és különös szabályai</w:t>
      </w:r>
    </w:p>
    <w:p w:rsidR="00A960A4" w:rsidRDefault="00A960A4" w:rsidP="002E0FE4">
      <w:pPr>
        <w:numPr>
          <w:ilvl w:val="0"/>
          <w:numId w:val="6"/>
        </w:numPr>
        <w:spacing w:before="120"/>
        <w:ind w:left="284" w:hanging="284"/>
        <w:jc w:val="both"/>
      </w:pPr>
      <w:r>
        <w:t>A tulajdon közjogi korlátai. A kisajátítás</w:t>
      </w:r>
    </w:p>
    <w:p w:rsidR="00A960A4" w:rsidRDefault="00A960A4" w:rsidP="002E0FE4">
      <w:pPr>
        <w:numPr>
          <w:ilvl w:val="0"/>
          <w:numId w:val="7"/>
        </w:numPr>
        <w:spacing w:before="120"/>
        <w:ind w:left="284" w:hanging="284"/>
        <w:jc w:val="both"/>
      </w:pPr>
      <w:r>
        <w:t>Gazdátlan javak elsajátítása. A találás és a kincslelet</w:t>
      </w:r>
    </w:p>
    <w:p w:rsidR="00A960A4" w:rsidRDefault="00A960A4" w:rsidP="002E0FE4">
      <w:pPr>
        <w:numPr>
          <w:ilvl w:val="0"/>
          <w:numId w:val="7"/>
        </w:numPr>
        <w:spacing w:before="120"/>
        <w:ind w:left="284" w:hanging="284"/>
        <w:jc w:val="both"/>
      </w:pPr>
      <w:r>
        <w:t xml:space="preserve"> Az elbirtoklás.</w:t>
      </w:r>
    </w:p>
    <w:p w:rsidR="00A960A4" w:rsidRDefault="00A960A4" w:rsidP="009C2D4E">
      <w:pPr>
        <w:numPr>
          <w:ilvl w:val="0"/>
          <w:numId w:val="15"/>
        </w:numPr>
        <w:spacing w:before="120"/>
        <w:ind w:left="284" w:hanging="284"/>
        <w:jc w:val="both"/>
      </w:pPr>
      <w:r>
        <w:t xml:space="preserve"> Tulajdonszerzés terméken, terményen és szaporulaton. A növedék.</w:t>
      </w:r>
    </w:p>
    <w:p w:rsidR="00A960A4" w:rsidRDefault="00A960A4" w:rsidP="009C2D4E">
      <w:pPr>
        <w:numPr>
          <w:ilvl w:val="0"/>
          <w:numId w:val="15"/>
        </w:numPr>
        <w:spacing w:before="120"/>
        <w:ind w:left="284" w:hanging="284"/>
        <w:jc w:val="both"/>
      </w:pPr>
      <w:r>
        <w:t>Feldolgozás, átalakítás, egyesülés, vegyülés.</w:t>
      </w:r>
    </w:p>
    <w:p w:rsidR="00A960A4" w:rsidRDefault="00A960A4" w:rsidP="009C2D4E">
      <w:pPr>
        <w:numPr>
          <w:ilvl w:val="0"/>
          <w:numId w:val="15"/>
        </w:numPr>
        <w:spacing w:before="120"/>
        <w:ind w:left="284" w:hanging="284"/>
        <w:jc w:val="both"/>
      </w:pPr>
      <w:r>
        <w:t>Tulajdonszerzés hatósági határozattal és hatósági árveréssel.</w:t>
      </w:r>
    </w:p>
    <w:p w:rsidR="00A960A4" w:rsidRDefault="00A960A4" w:rsidP="002E0FE4">
      <w:pPr>
        <w:numPr>
          <w:ilvl w:val="0"/>
          <w:numId w:val="15"/>
        </w:numPr>
        <w:spacing w:before="120"/>
        <w:ind w:left="284" w:hanging="284"/>
        <w:jc w:val="both"/>
      </w:pPr>
      <w:r>
        <w:t xml:space="preserve"> Az átruházás (ingó-ingatlan). Tulajdonszerzés olyan személytől, aki nem tulajdonos. </w:t>
      </w:r>
    </w:p>
    <w:p w:rsidR="00A960A4" w:rsidRDefault="00A960A4" w:rsidP="002E0FE4">
      <w:pPr>
        <w:numPr>
          <w:ilvl w:val="0"/>
          <w:numId w:val="9"/>
        </w:numPr>
        <w:spacing w:before="120"/>
        <w:ind w:left="284" w:hanging="284"/>
        <w:jc w:val="both"/>
      </w:pPr>
      <w:r>
        <w:t xml:space="preserve"> Az ingatlan-nyilvántartás felépítése, szerkezete, alapelvei. A közhitelesség.</w:t>
      </w:r>
    </w:p>
    <w:p w:rsidR="00A960A4" w:rsidRDefault="00A960A4" w:rsidP="002E0FE4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 Túlépítés, beépítés.</w:t>
      </w:r>
    </w:p>
    <w:p w:rsidR="00A960A4" w:rsidRDefault="00A960A4" w:rsidP="002E0FE4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 A ráépítés és a hozzáépítés. </w:t>
      </w:r>
    </w:p>
    <w:p w:rsidR="00A960A4" w:rsidRDefault="00A960A4" w:rsidP="002E0FE4">
      <w:pPr>
        <w:numPr>
          <w:ilvl w:val="0"/>
          <w:numId w:val="11"/>
        </w:numPr>
        <w:spacing w:before="120"/>
        <w:ind w:left="284" w:hanging="284"/>
        <w:jc w:val="both"/>
      </w:pPr>
      <w:r>
        <w:t xml:space="preserve"> A közös tulajdon fogalma és keletkezése. A tulajdonostársak jogviszonyai</w:t>
      </w:r>
    </w:p>
    <w:p w:rsidR="00A960A4" w:rsidRDefault="00A960A4" w:rsidP="002E0FE4">
      <w:pPr>
        <w:numPr>
          <w:ilvl w:val="0"/>
          <w:numId w:val="12"/>
        </w:numPr>
        <w:spacing w:before="120"/>
        <w:ind w:left="284" w:hanging="284"/>
        <w:jc w:val="both"/>
      </w:pPr>
      <w:r>
        <w:t xml:space="preserve"> A tulajdonközösség megszűnése és megszüntetése</w:t>
      </w:r>
    </w:p>
    <w:p w:rsidR="00A960A4" w:rsidRDefault="00A960A4" w:rsidP="002E0FE4">
      <w:pPr>
        <w:numPr>
          <w:ilvl w:val="0"/>
          <w:numId w:val="13"/>
        </w:numPr>
        <w:spacing w:before="120"/>
        <w:ind w:left="284" w:hanging="284"/>
        <w:jc w:val="both"/>
      </w:pPr>
      <w:r>
        <w:t xml:space="preserve"> A társasháztulajdon fogalma, a társasház közösség jogalanyisága, alapítása, jogok és kötelezettségek.</w:t>
      </w:r>
    </w:p>
    <w:p w:rsidR="00A960A4" w:rsidRDefault="00A960A4" w:rsidP="002E0FE4">
      <w:pPr>
        <w:numPr>
          <w:ilvl w:val="0"/>
          <w:numId w:val="14"/>
        </w:numPr>
        <w:spacing w:before="120"/>
        <w:ind w:left="284" w:hanging="284"/>
        <w:jc w:val="both"/>
      </w:pPr>
      <w:r>
        <w:t xml:space="preserve"> A tulajdoni igény sajátosságai. A tulajdonjog védelme (jogos önhatalom, tulajdoni per, ingatlan-nyilvántartási perek, igényper)</w:t>
      </w:r>
    </w:p>
    <w:p w:rsidR="00A960A4" w:rsidRDefault="00A960A4" w:rsidP="002E0FE4">
      <w:pPr>
        <w:numPr>
          <w:ilvl w:val="0"/>
          <w:numId w:val="16"/>
        </w:numPr>
        <w:spacing w:before="120"/>
        <w:ind w:left="284" w:hanging="284"/>
        <w:jc w:val="both"/>
      </w:pPr>
      <w:r>
        <w:t xml:space="preserve"> A korlátolt dologi jogok fogalma és fajai (csoportosítása)</w:t>
      </w:r>
    </w:p>
    <w:p w:rsidR="00A960A4" w:rsidRDefault="00A960A4" w:rsidP="002E0FE4">
      <w:pPr>
        <w:numPr>
          <w:ilvl w:val="0"/>
          <w:numId w:val="17"/>
        </w:numPr>
        <w:spacing w:before="120"/>
        <w:ind w:left="284" w:hanging="284"/>
        <w:jc w:val="both"/>
      </w:pPr>
      <w:r>
        <w:t xml:space="preserve"> A haszonélvezet és a használat. Közérdekű használati jog</w:t>
      </w:r>
    </w:p>
    <w:p w:rsidR="00A960A4" w:rsidRDefault="00A960A4" w:rsidP="002E0FE4">
      <w:pPr>
        <w:numPr>
          <w:ilvl w:val="0"/>
          <w:numId w:val="17"/>
        </w:numPr>
        <w:spacing w:before="120"/>
        <w:ind w:left="284" w:hanging="284"/>
        <w:jc w:val="both"/>
      </w:pPr>
      <w:r>
        <w:t xml:space="preserve"> Telki szolgalom keletkezése, jellemzői és megszűnése</w:t>
      </w:r>
    </w:p>
    <w:p w:rsidR="00A960A4" w:rsidRDefault="00A960A4" w:rsidP="002E0FE4">
      <w:pPr>
        <w:numPr>
          <w:ilvl w:val="0"/>
          <w:numId w:val="18"/>
        </w:numPr>
        <w:spacing w:before="120"/>
        <w:ind w:left="284" w:hanging="284"/>
        <w:jc w:val="both"/>
      </w:pPr>
      <w:r>
        <w:t xml:space="preserve"> A birtok fogalma és fajai. A birtokátruházás. Birtokvédelem</w:t>
      </w:r>
    </w:p>
    <w:p w:rsidR="00A960A4" w:rsidRDefault="00A960A4" w:rsidP="002E0FE4">
      <w:pPr>
        <w:numPr>
          <w:ilvl w:val="0"/>
          <w:numId w:val="19"/>
        </w:numPr>
        <w:spacing w:before="120"/>
        <w:ind w:left="284" w:hanging="284"/>
        <w:jc w:val="both"/>
      </w:pPr>
      <w:r>
        <w:t xml:space="preserve"> Birtoklás jogalap nélkül. </w:t>
      </w:r>
    </w:p>
    <w:p w:rsidR="00A960A4" w:rsidRDefault="00A960A4" w:rsidP="002E0FE4">
      <w:pPr>
        <w:numPr>
          <w:ilvl w:val="0"/>
          <w:numId w:val="20"/>
        </w:numPr>
        <w:spacing w:before="120"/>
        <w:ind w:left="284" w:hanging="284"/>
        <w:jc w:val="both"/>
      </w:pPr>
      <w:r>
        <w:lastRenderedPageBreak/>
        <w:t xml:space="preserve"> A zálogjog fogalma, jogi természete. A </w:t>
      </w:r>
      <w:proofErr w:type="gramStart"/>
      <w:r>
        <w:t>zálogjog</w:t>
      </w:r>
      <w:proofErr w:type="gramEnd"/>
      <w:r>
        <w:t xml:space="preserve"> mint értékjog.</w:t>
      </w:r>
    </w:p>
    <w:p w:rsidR="00A960A4" w:rsidRDefault="00A960A4">
      <w:pPr>
        <w:jc w:val="both"/>
      </w:pPr>
    </w:p>
    <w:p w:rsidR="00A960A4" w:rsidRDefault="00A960A4">
      <w:pPr>
        <w:spacing w:line="360" w:lineRule="atLeast"/>
        <w:jc w:val="center"/>
      </w:pPr>
      <w:r>
        <w:rPr>
          <w:b/>
        </w:rPr>
        <w:t>II.</w:t>
      </w:r>
    </w:p>
    <w:p w:rsidR="00A960A4" w:rsidRDefault="00A960A4">
      <w:pPr>
        <w:numPr>
          <w:ilvl w:val="0"/>
          <w:numId w:val="21"/>
        </w:numPr>
        <w:spacing w:line="360" w:lineRule="atLeast"/>
        <w:jc w:val="both"/>
      </w:pPr>
      <w:r>
        <w:t xml:space="preserve">Az öröklés, mint jogutódlás. Az ipso </w:t>
      </w:r>
      <w:proofErr w:type="spellStart"/>
      <w:r>
        <w:t>iure</w:t>
      </w:r>
      <w:proofErr w:type="spellEnd"/>
      <w:r>
        <w:t xml:space="preserve"> öröklés elve. A hagyaték. </w:t>
      </w:r>
    </w:p>
    <w:p w:rsidR="00A960A4" w:rsidRDefault="00A960A4">
      <w:pPr>
        <w:numPr>
          <w:ilvl w:val="0"/>
          <w:numId w:val="29"/>
        </w:numPr>
        <w:spacing w:line="360" w:lineRule="atLeast"/>
        <w:jc w:val="both"/>
      </w:pPr>
      <w:r>
        <w:t>A hagyomány, mint különös jogutódlás. A meghagyás és a közérdekű meghagyás egybevetése</w:t>
      </w:r>
    </w:p>
    <w:p w:rsidR="00A960A4" w:rsidRDefault="00A960A4">
      <w:pPr>
        <w:numPr>
          <w:ilvl w:val="0"/>
          <w:numId w:val="23"/>
        </w:numPr>
        <w:spacing w:line="360" w:lineRule="atLeast"/>
        <w:jc w:val="both"/>
      </w:pPr>
      <w:r>
        <w:t>A visszautasítás és a lemondás egybevetése.</w:t>
      </w:r>
    </w:p>
    <w:p w:rsidR="00A960A4" w:rsidRDefault="00A960A4">
      <w:pPr>
        <w:numPr>
          <w:ilvl w:val="0"/>
          <w:numId w:val="39"/>
        </w:numPr>
        <w:spacing w:line="360" w:lineRule="atLeast"/>
        <w:jc w:val="both"/>
      </w:pPr>
      <w:r>
        <w:t>A kiesési okok rendszere. A kiesés jogkövetkezménye</w:t>
      </w:r>
    </w:p>
    <w:p w:rsidR="00A960A4" w:rsidRDefault="00A960A4">
      <w:pPr>
        <w:numPr>
          <w:ilvl w:val="0"/>
          <w:numId w:val="38"/>
        </w:numPr>
        <w:spacing w:line="360" w:lineRule="atLeast"/>
        <w:jc w:val="both"/>
      </w:pPr>
      <w:r>
        <w:t>A törvényes öröklés rendje. Az állam öröklése.</w:t>
      </w:r>
    </w:p>
    <w:p w:rsidR="00A960A4" w:rsidRDefault="00A960A4">
      <w:pPr>
        <w:numPr>
          <w:ilvl w:val="0"/>
          <w:numId w:val="37"/>
        </w:numPr>
        <w:spacing w:line="360" w:lineRule="atLeast"/>
        <w:jc w:val="both"/>
      </w:pPr>
      <w:r>
        <w:t>A házastárs, mint örökös jogállása.</w:t>
      </w:r>
    </w:p>
    <w:p w:rsidR="00A960A4" w:rsidRDefault="00A960A4">
      <w:pPr>
        <w:numPr>
          <w:ilvl w:val="0"/>
          <w:numId w:val="26"/>
        </w:numPr>
        <w:spacing w:line="360" w:lineRule="atLeast"/>
        <w:jc w:val="both"/>
      </w:pPr>
      <w:r>
        <w:t xml:space="preserve">A leszármazók törvényes öröklése, az </w:t>
      </w:r>
      <w:proofErr w:type="spellStart"/>
      <w:r>
        <w:t>osztályrabocsátás</w:t>
      </w:r>
      <w:proofErr w:type="spellEnd"/>
      <w:r>
        <w:t xml:space="preserve"> </w:t>
      </w:r>
    </w:p>
    <w:p w:rsidR="00A960A4" w:rsidRDefault="00A960A4">
      <w:pPr>
        <w:numPr>
          <w:ilvl w:val="0"/>
          <w:numId w:val="35"/>
        </w:numPr>
        <w:spacing w:line="360" w:lineRule="atLeast"/>
        <w:jc w:val="both"/>
      </w:pPr>
      <w:r>
        <w:t>Az ági öröklés funkciója, jellemzői (ági vagyon, ági örökösök köre)</w:t>
      </w:r>
    </w:p>
    <w:p w:rsidR="00A960A4" w:rsidRDefault="00A960A4">
      <w:pPr>
        <w:numPr>
          <w:ilvl w:val="0"/>
          <w:numId w:val="33"/>
        </w:numPr>
        <w:spacing w:line="360" w:lineRule="atLeast"/>
        <w:jc w:val="both"/>
      </w:pPr>
      <w:r>
        <w:t xml:space="preserve"> Az írásbeli magánvégrendelet fajai</w:t>
      </w:r>
    </w:p>
    <w:p w:rsidR="00A960A4" w:rsidRDefault="00A960A4">
      <w:pPr>
        <w:numPr>
          <w:ilvl w:val="0"/>
          <w:numId w:val="34"/>
        </w:numPr>
        <w:spacing w:line="360" w:lineRule="atLeast"/>
        <w:jc w:val="both"/>
      </w:pPr>
      <w:r>
        <w:t xml:space="preserve"> A közvégrendelet és a szóbeli végrendelet</w:t>
      </w:r>
    </w:p>
    <w:p w:rsidR="00A960A4" w:rsidRDefault="00A960A4">
      <w:pPr>
        <w:numPr>
          <w:ilvl w:val="0"/>
          <w:numId w:val="32"/>
        </w:numPr>
        <w:spacing w:line="360" w:lineRule="atLeast"/>
        <w:jc w:val="both"/>
      </w:pPr>
      <w:r>
        <w:t xml:space="preserve"> A végrendelet érvénytelensége formai okokból és az érvénytelenség jogkövetkezménye</w:t>
      </w:r>
    </w:p>
    <w:p w:rsidR="00A960A4" w:rsidRDefault="00A960A4">
      <w:pPr>
        <w:numPr>
          <w:ilvl w:val="0"/>
          <w:numId w:val="31"/>
        </w:numPr>
        <w:spacing w:line="360" w:lineRule="atLeast"/>
        <w:jc w:val="both"/>
      </w:pPr>
      <w:r>
        <w:t xml:space="preserve"> A végrendelet érvénytelensége tartalmi okokból és az érvénytelenség jogkövetkezménye</w:t>
      </w:r>
    </w:p>
    <w:p w:rsidR="00A960A4" w:rsidRDefault="00A960A4">
      <w:pPr>
        <w:numPr>
          <w:ilvl w:val="0"/>
          <w:numId w:val="28"/>
        </w:numPr>
        <w:spacing w:line="360" w:lineRule="atLeast"/>
        <w:jc w:val="both"/>
      </w:pPr>
      <w:r>
        <w:t xml:space="preserve"> A végrendelet hatálytalanságának okai és jogkövetkezményei</w:t>
      </w:r>
    </w:p>
    <w:p w:rsidR="00A960A4" w:rsidRDefault="00A960A4">
      <w:pPr>
        <w:numPr>
          <w:ilvl w:val="0"/>
          <w:numId w:val="30"/>
        </w:numPr>
        <w:spacing w:line="360" w:lineRule="atLeast"/>
        <w:jc w:val="both"/>
      </w:pPr>
      <w:r>
        <w:t xml:space="preserve"> A helyettes örökös jogállása és a növedékjog</w:t>
      </w:r>
    </w:p>
    <w:p w:rsidR="00A960A4" w:rsidRDefault="00A960A4">
      <w:pPr>
        <w:numPr>
          <w:ilvl w:val="0"/>
          <w:numId w:val="24"/>
        </w:numPr>
        <w:spacing w:line="360" w:lineRule="atLeast"/>
        <w:jc w:val="both"/>
      </w:pPr>
      <w:r>
        <w:t>A kötelesrész fogalma, funkciója, érvényesülése</w:t>
      </w:r>
    </w:p>
    <w:p w:rsidR="00A960A4" w:rsidRDefault="00A960A4">
      <w:pPr>
        <w:numPr>
          <w:ilvl w:val="0"/>
          <w:numId w:val="25"/>
        </w:numPr>
        <w:spacing w:line="360" w:lineRule="atLeast"/>
        <w:jc w:val="both"/>
      </w:pPr>
      <w:r>
        <w:t xml:space="preserve"> A kitagadási okok, valamint jogkövetkezményei</w:t>
      </w:r>
    </w:p>
    <w:p w:rsidR="00A960A4" w:rsidRDefault="00A960A4">
      <w:pPr>
        <w:numPr>
          <w:ilvl w:val="0"/>
          <w:numId w:val="40"/>
        </w:numPr>
        <w:spacing w:line="360" w:lineRule="atLeast"/>
        <w:jc w:val="both"/>
      </w:pPr>
      <w:r>
        <w:t xml:space="preserve"> A kötelesrész mértéke és alapja, a jogosultak köre</w:t>
      </w:r>
    </w:p>
    <w:p w:rsidR="00A960A4" w:rsidRDefault="00A960A4">
      <w:pPr>
        <w:numPr>
          <w:ilvl w:val="0"/>
          <w:numId w:val="27"/>
        </w:numPr>
        <w:spacing w:line="360" w:lineRule="atLeast"/>
        <w:jc w:val="both"/>
      </w:pPr>
      <w:r>
        <w:t xml:space="preserve"> Az öröklési szerződés jellemző vonásai</w:t>
      </w:r>
    </w:p>
    <w:p w:rsidR="00A960A4" w:rsidRDefault="00A960A4">
      <w:pPr>
        <w:numPr>
          <w:ilvl w:val="0"/>
          <w:numId w:val="21"/>
        </w:numPr>
        <w:spacing w:line="360" w:lineRule="atLeast"/>
        <w:jc w:val="both"/>
      </w:pPr>
      <w:r>
        <w:t xml:space="preserve"> Felelősség a hagyatéki tartozásokért (általános szabályok, korlátozott felelősség)</w:t>
      </w:r>
    </w:p>
    <w:p w:rsidR="00A960A4" w:rsidRDefault="00A960A4">
      <w:pPr>
        <w:numPr>
          <w:ilvl w:val="0"/>
          <w:numId w:val="22"/>
        </w:numPr>
        <w:spacing w:line="360" w:lineRule="atLeast"/>
        <w:jc w:val="both"/>
      </w:pPr>
      <w:r>
        <w:t xml:space="preserve"> A hagyatékból való kielégítés rendje</w:t>
      </w:r>
    </w:p>
    <w:p w:rsidR="00A960A4" w:rsidRDefault="00A960A4">
      <w:pPr>
        <w:numPr>
          <w:ilvl w:val="0"/>
          <w:numId w:val="36"/>
        </w:numPr>
        <w:spacing w:line="360" w:lineRule="atLeast"/>
        <w:jc w:val="both"/>
      </w:pPr>
      <w:r>
        <w:t xml:space="preserve"> A hagyatéki eljárás alapvető szabályai.</w:t>
      </w:r>
    </w:p>
    <w:p w:rsidR="00A960A4" w:rsidRDefault="00A960A4">
      <w:pPr>
        <w:spacing w:line="360" w:lineRule="atLeast"/>
        <w:jc w:val="both"/>
      </w:pPr>
    </w:p>
    <w:p w:rsidR="00A960A4" w:rsidRDefault="00A960A4">
      <w:pPr>
        <w:spacing w:line="360" w:lineRule="atLeast"/>
        <w:jc w:val="both"/>
      </w:pPr>
      <w:r>
        <w:t>Miskolc, 201</w:t>
      </w:r>
      <w:r w:rsidR="002B6F88">
        <w:t>6</w:t>
      </w:r>
      <w:r>
        <w:t>. február 6.</w:t>
      </w:r>
    </w:p>
    <w:p w:rsidR="00A960A4" w:rsidRDefault="00A960A4">
      <w:pPr>
        <w:spacing w:line="360" w:lineRule="atLeast"/>
        <w:jc w:val="both"/>
      </w:pPr>
    </w:p>
    <w:p w:rsidR="00A960A4" w:rsidRDefault="00A960A4">
      <w:pPr>
        <w:spacing w:line="360" w:lineRule="atLeast"/>
        <w:ind w:left="4956" w:firstLine="708"/>
        <w:jc w:val="both"/>
      </w:pPr>
      <w:r>
        <w:t xml:space="preserve">Dr. </w:t>
      </w:r>
      <w:proofErr w:type="spellStart"/>
      <w:r w:rsidR="002B6F88">
        <w:t>Barzó</w:t>
      </w:r>
      <w:proofErr w:type="spellEnd"/>
      <w:r>
        <w:t xml:space="preserve"> </w:t>
      </w:r>
      <w:r w:rsidR="002B6F88">
        <w:t>Tímea</w:t>
      </w:r>
    </w:p>
    <w:p w:rsidR="00A960A4" w:rsidRDefault="00A960A4" w:rsidP="002B6F88">
      <w:pPr>
        <w:spacing w:line="360" w:lineRule="atLeast"/>
        <w:ind w:left="4248" w:firstLine="708"/>
        <w:jc w:val="both"/>
      </w:pPr>
      <w:proofErr w:type="gramStart"/>
      <w:r>
        <w:t>tanszékvezető</w:t>
      </w:r>
      <w:proofErr w:type="gramEnd"/>
      <w:r>
        <w:t xml:space="preserve"> egyetemi </w:t>
      </w:r>
      <w:r w:rsidR="002B6F88">
        <w:t>docens</w:t>
      </w:r>
    </w:p>
    <w:sectPr w:rsidR="00A960A4" w:rsidSect="008A6A4F">
      <w:headerReference w:type="even" r:id="rId7"/>
      <w:headerReference w:type="default" r:id="rId8"/>
      <w:pgSz w:w="11907" w:h="16840"/>
      <w:pgMar w:top="1418" w:right="1701" w:bottom="1418" w:left="1985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45" w:rsidRDefault="007A2E45">
      <w:r>
        <w:separator/>
      </w:r>
    </w:p>
  </w:endnote>
  <w:endnote w:type="continuationSeparator" w:id="0">
    <w:p w:rsidR="007A2E45" w:rsidRDefault="007A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45" w:rsidRDefault="007A2E45">
      <w:r>
        <w:separator/>
      </w:r>
    </w:p>
  </w:footnote>
  <w:footnote w:type="continuationSeparator" w:id="0">
    <w:p w:rsidR="007A2E45" w:rsidRDefault="007A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4" w:rsidRDefault="003B6C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960A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60A4" w:rsidRDefault="00A960A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4" w:rsidRDefault="003B6C4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960A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6F88">
      <w:rPr>
        <w:rStyle w:val="Oldalszm"/>
        <w:noProof/>
      </w:rPr>
      <w:t>2</w:t>
    </w:r>
    <w:r>
      <w:rPr>
        <w:rStyle w:val="Oldalszm"/>
      </w:rPr>
      <w:fldChar w:fldCharType="end"/>
    </w:r>
  </w:p>
  <w:p w:rsidR="00A960A4" w:rsidRDefault="00A960A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2A8"/>
    <w:multiLevelType w:val="singleLevel"/>
    <w:tmpl w:val="D4E618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6243673D"/>
    <w:multiLevelType w:val="singleLevel"/>
    <w:tmpl w:val="940631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"/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32"/>
    <w:rsid w:val="00092F4E"/>
    <w:rsid w:val="00134BC4"/>
    <w:rsid w:val="0018469B"/>
    <w:rsid w:val="00195174"/>
    <w:rsid w:val="001C251F"/>
    <w:rsid w:val="001D310A"/>
    <w:rsid w:val="00226EC4"/>
    <w:rsid w:val="00235DE6"/>
    <w:rsid w:val="002B6F88"/>
    <w:rsid w:val="002C04C6"/>
    <w:rsid w:val="002E0FE4"/>
    <w:rsid w:val="00360C2F"/>
    <w:rsid w:val="003824FF"/>
    <w:rsid w:val="003B2B07"/>
    <w:rsid w:val="003B6C40"/>
    <w:rsid w:val="0045521A"/>
    <w:rsid w:val="00536032"/>
    <w:rsid w:val="00540FBA"/>
    <w:rsid w:val="00550F70"/>
    <w:rsid w:val="00551974"/>
    <w:rsid w:val="0060607F"/>
    <w:rsid w:val="006D06C0"/>
    <w:rsid w:val="007A2E45"/>
    <w:rsid w:val="008A6A4F"/>
    <w:rsid w:val="008B169D"/>
    <w:rsid w:val="009C2D4E"/>
    <w:rsid w:val="009D0536"/>
    <w:rsid w:val="009E369B"/>
    <w:rsid w:val="00A33A64"/>
    <w:rsid w:val="00A549DA"/>
    <w:rsid w:val="00A960A4"/>
    <w:rsid w:val="00BF141D"/>
    <w:rsid w:val="00C32C74"/>
    <w:rsid w:val="00D40C65"/>
    <w:rsid w:val="00DA371D"/>
    <w:rsid w:val="00DB6058"/>
    <w:rsid w:val="00DC7B9C"/>
    <w:rsid w:val="00E453B2"/>
    <w:rsid w:val="00E91DB5"/>
    <w:rsid w:val="00F22019"/>
    <w:rsid w:val="00F51872"/>
    <w:rsid w:val="00F870A0"/>
    <w:rsid w:val="00FA5A5F"/>
    <w:rsid w:val="00FB586D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6A4F"/>
    <w:rPr>
      <w:sz w:val="24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8A6A4F"/>
    <w:pPr>
      <w:keepNext/>
      <w:spacing w:before="240" w:after="6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9"/>
    <w:qFormat/>
    <w:rsid w:val="008A6A4F"/>
    <w:pPr>
      <w:spacing w:before="240" w:after="60"/>
      <w:outlineLvl w:val="4"/>
    </w:pPr>
    <w:rPr>
      <w:b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8A6A4F"/>
    <w:pPr>
      <w:spacing w:before="240" w:after="60"/>
      <w:outlineLvl w:val="5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D229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229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229B6"/>
    <w:rPr>
      <w:rFonts w:asciiTheme="minorHAnsi" w:eastAsiaTheme="minorEastAsia" w:hAnsiTheme="minorHAnsi" w:cstheme="minorBidi"/>
      <w:b/>
      <w:bCs/>
    </w:rPr>
  </w:style>
  <w:style w:type="paragraph" w:styleId="lfej">
    <w:name w:val="header"/>
    <w:basedOn w:val="Norml"/>
    <w:link w:val="lfejChar"/>
    <w:uiPriority w:val="99"/>
    <w:rsid w:val="008A6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229B6"/>
    <w:rPr>
      <w:sz w:val="24"/>
      <w:szCs w:val="20"/>
    </w:rPr>
  </w:style>
  <w:style w:type="character" w:styleId="Oldalszm">
    <w:name w:val="page number"/>
    <w:basedOn w:val="Bekezdsalapbettpusa"/>
    <w:uiPriority w:val="99"/>
    <w:rsid w:val="008A6A4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A6A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9B6"/>
    <w:rPr>
      <w:sz w:val="0"/>
      <w:szCs w:val="0"/>
    </w:rPr>
  </w:style>
  <w:style w:type="paragraph" w:styleId="Cm">
    <w:name w:val="Title"/>
    <w:basedOn w:val="Norml"/>
    <w:link w:val="CmChar"/>
    <w:uiPriority w:val="99"/>
    <w:qFormat/>
    <w:rsid w:val="008A6A4F"/>
    <w:pPr>
      <w:spacing w:line="360" w:lineRule="atLeast"/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D229B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2653</Characters>
  <Application>Microsoft Office Word</Application>
  <DocSecurity>0</DocSecurity>
  <Lines>22</Lines>
  <Paragraphs>6</Paragraphs>
  <ScaleCrop>false</ScaleCrop>
  <Company>Miskolci Egyetem Civilisztikai Intézet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1995/96. tanév I. félév</dc:title>
  <dc:creator>Révész Katalin</dc:creator>
  <cp:lastModifiedBy>su</cp:lastModifiedBy>
  <cp:revision>2</cp:revision>
  <cp:lastPrinted>2003-01-15T16:02:00Z</cp:lastPrinted>
  <dcterms:created xsi:type="dcterms:W3CDTF">2016-04-01T12:18:00Z</dcterms:created>
  <dcterms:modified xsi:type="dcterms:W3CDTF">2016-04-01T12:18:00Z</dcterms:modified>
</cp:coreProperties>
</file>